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88672" w14:textId="77777777" w:rsidR="00274D27" w:rsidRPr="00F860A5" w:rsidRDefault="00274D27" w:rsidP="00274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01A81E9" w14:textId="77777777" w:rsidR="00274D27" w:rsidRPr="00F860A5" w:rsidRDefault="00274D27" w:rsidP="00274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3F6677E" w14:textId="77777777" w:rsidR="00274D27" w:rsidRDefault="00274D27" w:rsidP="00274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6EED07D1" w14:textId="77777777" w:rsidR="00274D27" w:rsidRPr="00F860A5" w:rsidRDefault="00274D27" w:rsidP="00274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651CA3B" w14:textId="77777777" w:rsidR="00274D27" w:rsidRPr="004A2190" w:rsidRDefault="00274D27" w:rsidP="00274D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5AC7F54D" w14:textId="77777777" w:rsidR="00274D27" w:rsidRPr="002D2458" w:rsidRDefault="00274D27" w:rsidP="00274D2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41A69D5" w14:textId="77777777" w:rsidR="00274D27" w:rsidRPr="001147AA" w:rsidRDefault="00274D27" w:rsidP="00274D2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45AE892" w14:textId="77777777" w:rsidR="00274D27" w:rsidRPr="002D2458" w:rsidRDefault="00274D27" w:rsidP="00274D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E98FADC" w14:textId="15E8022C" w:rsidR="00274D27" w:rsidRPr="001474A9" w:rsidRDefault="00274D27" w:rsidP="00274D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Визначити,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Ярешко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Оксана Володимирівна набрала</w:t>
      </w:r>
      <w:r w:rsidR="00284AB1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688,7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DDCB13F" w14:textId="77777777" w:rsidR="00274D27" w:rsidRPr="001474A9" w:rsidRDefault="00274D27" w:rsidP="00274D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Ярешко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Оксану Володимирівну такою, що підтвердила здатність здійснювати правосуддя в апеляційному господарському суді.</w:t>
      </w:r>
    </w:p>
    <w:p w14:paraId="1688AA50" w14:textId="77777777" w:rsidR="00274D27" w:rsidRPr="002D2458" w:rsidRDefault="00274D27" w:rsidP="00274D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3FA6C3F" w14:textId="77777777" w:rsidR="00274D27" w:rsidRPr="001474A9" w:rsidRDefault="00274D27" w:rsidP="00274D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Демчина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Тетяна Юріївна набрала 671,75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91774AC" w14:textId="77777777" w:rsidR="00274D27" w:rsidRPr="001474A9" w:rsidRDefault="00274D27" w:rsidP="00274D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або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непідтвердження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здатності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Демчини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Тетяни Юріївни здійснювати правосуддя в апеляційному господарському суді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63E39E68" w14:textId="77777777" w:rsidR="00274D27" w:rsidRPr="002D2458" w:rsidRDefault="00274D27" w:rsidP="00274D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E40F744" w14:textId="77777777" w:rsidR="00274D27" w:rsidRPr="001474A9" w:rsidRDefault="00274D27" w:rsidP="00274D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</w:t>
      </w: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Манюк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Петро Теодорович набрав 736,15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D5AAC5F" w14:textId="77777777" w:rsidR="00274D27" w:rsidRPr="001474A9" w:rsidRDefault="00274D27" w:rsidP="00274D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Манюка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Петра Теодоровича здійснювати правосуддя в апеляційному господарському суді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6A93629F" w14:textId="77777777" w:rsidR="00274D27" w:rsidRPr="002D2458" w:rsidRDefault="00274D27" w:rsidP="00274D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33B4AC0" w14:textId="77777777" w:rsidR="00274D27" w:rsidRPr="001474A9" w:rsidRDefault="00274D27" w:rsidP="00274D27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F0E11">
        <w:rPr>
          <w:rFonts w:ascii="Times New Roman" w:hAnsi="Times New Roman" w:cs="Times New Roman"/>
          <w:sz w:val="26"/>
          <w:szCs w:val="26"/>
          <w:lang w:val="uk-UA"/>
        </w:rPr>
        <w:t>Визначити,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Щоткін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Олег Віталійович набрав 670,85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4AF6B30" w14:textId="77777777" w:rsidR="00274D27" w:rsidRPr="001474A9" w:rsidRDefault="00274D27" w:rsidP="00274D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Щоткіна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Олега Віталійовича здійснювати правосуддя в апеляційному господарському суді </w:t>
      </w:r>
      <w:proofErr w:type="spellStart"/>
      <w:r w:rsidRPr="001474A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474A9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58AFD632" w14:textId="77777777" w:rsidR="00274D27" w:rsidRPr="002F0E11" w:rsidRDefault="00274D27" w:rsidP="00274D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CB91A1F" w14:textId="77777777" w:rsidR="00274D27" w:rsidRDefault="00274D27" w:rsidP="00274D27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Перед початком розгляду питання головуючий повідомив, що до Комісії надійшла заява кандидата на посаду судді апеляційного господарського суду Романюка Романа Васильовича про відвід члену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Богоносу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Михайлу Богдановичу.</w:t>
      </w:r>
    </w:p>
    <w:p w14:paraId="142C0EED" w14:textId="77777777" w:rsidR="00274D27" w:rsidRDefault="00274D27" w:rsidP="00274D27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вирішила </w:t>
      </w:r>
      <w:r w:rsidRPr="00545A82">
        <w:rPr>
          <w:rFonts w:ascii="Times New Roman" w:hAnsi="Times New Roman" w:cs="Times New Roman"/>
          <w:sz w:val="26"/>
          <w:szCs w:val="26"/>
          <w:lang w:val="uk-UA"/>
        </w:rPr>
        <w:t xml:space="preserve">у задоволенні заяви Романюка Романа Васильовича про відвід члену Вищої кваліфікаційної комісії суддів України </w:t>
      </w:r>
      <w:proofErr w:type="spellStart"/>
      <w:r w:rsidRPr="00545A82">
        <w:rPr>
          <w:rFonts w:ascii="Times New Roman" w:hAnsi="Times New Roman" w:cs="Times New Roman"/>
          <w:sz w:val="26"/>
          <w:szCs w:val="26"/>
          <w:lang w:val="uk-UA"/>
        </w:rPr>
        <w:t>Богоносу</w:t>
      </w:r>
      <w:proofErr w:type="spellEnd"/>
      <w:r w:rsidRPr="00545A82">
        <w:rPr>
          <w:rFonts w:ascii="Times New Roman" w:hAnsi="Times New Roman" w:cs="Times New Roman"/>
          <w:sz w:val="26"/>
          <w:szCs w:val="26"/>
          <w:lang w:val="uk-UA"/>
        </w:rPr>
        <w:t xml:space="preserve"> Михайлу Богдановичу від розгляду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Романюка Романа Васильовича у межах конкурсу, оголошеного рішенням Комісії від 14 вересня 2023 року № 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545A82">
        <w:rPr>
          <w:rFonts w:ascii="Times New Roman" w:hAnsi="Times New Roman" w:cs="Times New Roman"/>
          <w:sz w:val="26"/>
          <w:szCs w:val="26"/>
          <w:lang w:val="uk-UA"/>
        </w:rPr>
        <w:t xml:space="preserve"> відмовити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>(</w:t>
      </w:r>
      <w:r w:rsidRPr="00545A82">
        <w:rPr>
          <w:rFonts w:ascii="Times New Roman" w:hAnsi="Times New Roman" w:cs="Times New Roman"/>
          <w:sz w:val="26"/>
          <w:szCs w:val="26"/>
          <w:lang w:val="uk-UA"/>
        </w:rPr>
        <w:t>член Комісії Богоніс М.Б. не брав участі в голосуванні з цього питання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>).</w:t>
      </w:r>
    </w:p>
    <w:p w14:paraId="794550B8" w14:textId="77777777" w:rsidR="00274D27" w:rsidRDefault="00274D27" w:rsidP="00274D27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 вирішила:</w:t>
      </w:r>
    </w:p>
    <w:p w14:paraId="73368CA4" w14:textId="2184554B" w:rsidR="00274D27" w:rsidRPr="00545A82" w:rsidRDefault="00274D27" w:rsidP="00274D2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45A82">
        <w:rPr>
          <w:rFonts w:ascii="Times New Roman" w:hAnsi="Times New Roman" w:cs="Times New Roman"/>
          <w:sz w:val="26"/>
          <w:szCs w:val="26"/>
          <w:lang w:val="uk-UA"/>
        </w:rPr>
        <w:t>изначити, що за результатами кваліфікаційного оцінювання кандидат на посаду судді апеляційного господарського суду Романюк Роман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545A82">
        <w:rPr>
          <w:rFonts w:ascii="Times New Roman" w:hAnsi="Times New Roman" w:cs="Times New Roman"/>
          <w:sz w:val="26"/>
          <w:szCs w:val="26"/>
          <w:lang w:val="uk-UA"/>
        </w:rPr>
        <w:t>набрав 408,</w:t>
      </w:r>
      <w:r w:rsidR="007D7702">
        <w:rPr>
          <w:rFonts w:ascii="Times New Roman" w:hAnsi="Times New Roman" w:cs="Times New Roman"/>
          <w:sz w:val="26"/>
          <w:szCs w:val="26"/>
          <w:lang w:val="uk-UA"/>
        </w:rPr>
        <w:t>5</w:t>
      </w:r>
      <w:bookmarkStart w:id="0" w:name="_GoBack"/>
      <w:bookmarkEnd w:id="0"/>
      <w:r w:rsidRPr="00545A82">
        <w:rPr>
          <w:rFonts w:ascii="Times New Roman" w:hAnsi="Times New Roman" w:cs="Times New Roman"/>
          <w:sz w:val="26"/>
          <w:szCs w:val="26"/>
          <w:lang w:val="uk-UA"/>
        </w:rPr>
        <w:t xml:space="preserve">5 </w:t>
      </w:r>
      <w:proofErr w:type="spellStart"/>
      <w:r w:rsidRPr="00545A8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45A8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BE5BB4" w14:textId="77777777" w:rsidR="00274D27" w:rsidRPr="00545A82" w:rsidRDefault="00274D27" w:rsidP="00274D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5A82">
        <w:rPr>
          <w:rFonts w:ascii="Times New Roman" w:hAnsi="Times New Roman" w:cs="Times New Roman"/>
          <w:sz w:val="26"/>
          <w:szCs w:val="26"/>
          <w:lang w:val="uk-UA"/>
        </w:rPr>
        <w:t>Визнати Романюка Романа Васильовича таким, що не підтвердив здатність здійснювати правосуддя в апеляційному господарському суді.</w:t>
      </w:r>
    </w:p>
    <w:p w14:paraId="37D0C010" w14:textId="77777777" w:rsidR="00274D27" w:rsidRPr="00545A82" w:rsidRDefault="00274D27" w:rsidP="00274D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5A82">
        <w:rPr>
          <w:rFonts w:ascii="Times New Roman" w:hAnsi="Times New Roman" w:cs="Times New Roman"/>
          <w:sz w:val="26"/>
          <w:szCs w:val="26"/>
          <w:lang w:val="uk-UA"/>
        </w:rPr>
        <w:t>Повідомити Національне агентство з питань запобігання корупції про обставини, що можуть свідчити про порушення кандидатом на посаду судді апеляційного господарського суду Романюком Романом Васильовичем, який працює на посаді судді господарського суду Рівненської області, законодавства у сфері запобігання корупції.</w:t>
      </w:r>
    </w:p>
    <w:p w14:paraId="5E64FE14" w14:textId="77777777" w:rsidR="00274D27" w:rsidRDefault="00274D27" w:rsidP="00274D2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3741E0E" w14:textId="77777777" w:rsidR="00274D27" w:rsidRDefault="00274D27" w:rsidP="00274D2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773FCA0" w14:textId="77777777" w:rsidR="00C111C2" w:rsidRDefault="00C111C2"/>
    <w:sectPr w:rsidR="00C111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25"/>
    <w:rsid w:val="00274D27"/>
    <w:rsid w:val="00284AB1"/>
    <w:rsid w:val="007D7702"/>
    <w:rsid w:val="00AE5225"/>
    <w:rsid w:val="00C1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D95C"/>
  <w15:chartTrackingRefBased/>
  <w15:docId w15:val="{84AED3F6-D516-42E7-AFFD-3CDFCDA3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D2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4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5</cp:revision>
  <dcterms:created xsi:type="dcterms:W3CDTF">2025-06-04T11:08:00Z</dcterms:created>
  <dcterms:modified xsi:type="dcterms:W3CDTF">2025-06-19T11:50:00Z</dcterms:modified>
</cp:coreProperties>
</file>