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3B71" w14:textId="77777777" w:rsidR="00186FA1" w:rsidRDefault="00186FA1" w:rsidP="00186F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F905A22" w14:textId="77777777" w:rsidR="00186FA1" w:rsidRDefault="00186FA1" w:rsidP="00186F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FDE9C66" w14:textId="77777777" w:rsidR="00186FA1" w:rsidRDefault="00186FA1" w:rsidP="00186F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березня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A22CAED" w14:textId="77777777" w:rsidR="00186FA1" w:rsidRDefault="00186FA1" w:rsidP="00186F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3CF9FB8" w14:textId="77777777" w:rsidR="00186FA1" w:rsidRPr="002639AE" w:rsidRDefault="00186FA1" w:rsidP="00186FA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1F2F2379" w14:textId="77777777" w:rsidR="00186FA1" w:rsidRPr="002639AE" w:rsidRDefault="00186FA1" w:rsidP="00186F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«Про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необхідність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повторної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перевірки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практичного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виконаного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кандидатом у межах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виявили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намір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переведеними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іншого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суду, в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встановлено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розбіжності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між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найвищою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найнижчою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оцінками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виставленими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членами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у 22,67 </w:t>
      </w:r>
      <w:r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максимально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можливого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бала»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E709353" w14:textId="77777777" w:rsidR="00186FA1" w:rsidRPr="002639AE" w:rsidRDefault="00186FA1" w:rsidP="00186FA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18"/>
          <w:szCs w:val="18"/>
          <w:lang w:val="uk-UA"/>
        </w:rPr>
      </w:pPr>
      <w:r w:rsidRPr="00E01D6B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вказаного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bookmarkEnd w:id="3"/>
    <w:p w14:paraId="6FD0C418" w14:textId="77777777" w:rsidR="00186FA1" w:rsidRPr="002639AE" w:rsidRDefault="00186FA1" w:rsidP="00186FA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Призначити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повторну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перевірку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однієї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виконаної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16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2025 року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учасником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639AE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виявили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намір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переведеними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іншого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(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четвертий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етап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), в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встановлено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розбіжності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між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найвищою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найнижчою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оцінками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виставленими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членами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у 22,67 </w:t>
      </w:r>
      <w:r>
        <w:rPr>
          <w:rFonts w:ascii="Times New Roman" w:hAnsi="Times New Roman" w:cs="Times New Roman"/>
          <w:sz w:val="26"/>
          <w:szCs w:val="26"/>
          <w:lang w:val="uk-UA"/>
        </w:rPr>
        <w:t>%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максимально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можливого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бала.</w:t>
      </w:r>
    </w:p>
    <w:p w14:paraId="36FFD11E" w14:textId="77777777" w:rsidR="00186FA1" w:rsidRPr="002639AE" w:rsidRDefault="00186FA1" w:rsidP="00186FA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Затвердити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склад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повторної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перевірки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виконаної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16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2025 року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учасником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639AE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виявили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намір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переведеними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іншого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(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четвертий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етап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), в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встановлено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розбіжності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між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найвищою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найнижчою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оцінками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виставленими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членами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>, у 22,67</w:t>
      </w:r>
      <w:r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максимально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можливого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бала:</w:t>
      </w:r>
    </w:p>
    <w:p w14:paraId="0F06443E" w14:textId="77777777" w:rsidR="00186FA1" w:rsidRPr="002639AE" w:rsidRDefault="00186FA1" w:rsidP="00186FA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</w:t>
      </w:r>
    </w:p>
    <w:p w14:paraId="7E74B7EA" w14:textId="77777777" w:rsidR="00186FA1" w:rsidRPr="002639AE" w:rsidRDefault="00186FA1" w:rsidP="00186FA1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Здійснити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інформаційній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системі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повторний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розподіл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виконаної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2639AE">
        <w:rPr>
          <w:rFonts w:ascii="Times New Roman" w:hAnsi="Times New Roman" w:cs="Times New Roman"/>
          <w:sz w:val="26"/>
          <w:szCs w:val="26"/>
        </w:rPr>
        <w:t xml:space="preserve">16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2025 року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учасником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639AE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виявили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намір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переведеними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іншого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(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четвертий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етап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), в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якої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встановлено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розбіжності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між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найвищою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найнижчою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оцінками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виставленими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членами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>, у 22,67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%</w:t>
      </w:r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максимально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можливого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бала, для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повторної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перевірки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>.</w:t>
      </w:r>
    </w:p>
    <w:p w14:paraId="5EC09174" w14:textId="77777777" w:rsidR="00186FA1" w:rsidRDefault="00186FA1" w:rsidP="00186F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C98FC50" w14:textId="77777777" w:rsidR="00186FA1" w:rsidRPr="001E623E" w:rsidRDefault="00186FA1" w:rsidP="00186F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вирішила:</w:t>
      </w:r>
    </w:p>
    <w:p w14:paraId="3414557E" w14:textId="77777777" w:rsidR="00186FA1" w:rsidRPr="002639AE" w:rsidRDefault="00186FA1" w:rsidP="00186FA1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порушення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двома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учасниками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норм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про порядок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та методику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кандидатів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зафіксовані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2025 року практичного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суду (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четвертий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етап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), не є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істотними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та не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наслідком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визнання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учасників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такими,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склали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етапу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AE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639AE">
        <w:rPr>
          <w:rFonts w:ascii="Times New Roman" w:hAnsi="Times New Roman" w:cs="Times New Roman"/>
          <w:sz w:val="26"/>
          <w:szCs w:val="26"/>
        </w:rPr>
        <w:t>).</w:t>
      </w:r>
    </w:p>
    <w:p w14:paraId="73914769" w14:textId="1728D524" w:rsidR="00236D04" w:rsidRDefault="00186FA1" w:rsidP="00186FA1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Затвердити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кодовані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результати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виконання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практичного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завдання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зі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спеціалізації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місцевого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загального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суду (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четвертий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етап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кваліфікаційного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іспиту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) 14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жовтня</w:t>
      </w:r>
      <w:proofErr w:type="spellEnd"/>
      <w:r>
        <w:rPr>
          <w:rFonts w:eastAsiaTheme="minorHAnsi"/>
          <w:sz w:val="26"/>
          <w:szCs w:val="26"/>
          <w:lang w:val="ru-RU" w:eastAsia="en-US"/>
        </w:rPr>
        <w:br/>
      </w:r>
      <w:r w:rsidRPr="002639AE">
        <w:rPr>
          <w:rFonts w:eastAsiaTheme="minorHAnsi"/>
          <w:sz w:val="26"/>
          <w:szCs w:val="26"/>
          <w:lang w:val="ru-RU" w:eastAsia="en-US"/>
        </w:rPr>
        <w:t xml:space="preserve">2025 року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учасниками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другої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групи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та 15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жовтня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2025 року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учасниками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першої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групи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кандидатів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на посаду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судді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місцевого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суду та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суддів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,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які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виявили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намір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бути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переведеними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до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іншого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</w:t>
      </w:r>
      <w:proofErr w:type="spellStart"/>
      <w:r w:rsidRPr="002639AE">
        <w:rPr>
          <w:rFonts w:eastAsiaTheme="minorHAnsi"/>
          <w:sz w:val="26"/>
          <w:szCs w:val="26"/>
          <w:lang w:val="ru-RU" w:eastAsia="en-US"/>
        </w:rPr>
        <w:t>місцевого</w:t>
      </w:r>
      <w:proofErr w:type="spellEnd"/>
      <w:r w:rsidRPr="002639AE">
        <w:rPr>
          <w:rFonts w:eastAsiaTheme="minorHAnsi"/>
          <w:sz w:val="26"/>
          <w:szCs w:val="26"/>
          <w:lang w:val="ru-RU" w:eastAsia="en-US"/>
        </w:rPr>
        <w:t xml:space="preserve"> суду.</w:t>
      </w:r>
      <w:bookmarkStart w:id="5" w:name="_GoBack"/>
      <w:bookmarkEnd w:id="0"/>
      <w:bookmarkEnd w:id="1"/>
      <w:bookmarkEnd w:id="2"/>
      <w:bookmarkEnd w:id="5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6D3"/>
    <w:multiLevelType w:val="hybridMultilevel"/>
    <w:tmpl w:val="AAB8036C"/>
    <w:lvl w:ilvl="0" w:tplc="C3D4377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5E31"/>
    <w:multiLevelType w:val="hybridMultilevel"/>
    <w:tmpl w:val="95B6111A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86FA1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tecenter">
    <w:name w:val="rtecenter"/>
    <w:basedOn w:val="a"/>
    <w:rsid w:val="0018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2026-03-12T14:26:00Z</dcterms:created>
  <dcterms:modified xsi:type="dcterms:W3CDTF">2026-03-12T14:26:00Z</dcterms:modified>
</cp:coreProperties>
</file>