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460A4E" w:rsidRDefault="000A4AB1" w:rsidP="000A4AB1">
      <w:pPr>
        <w:spacing w:after="0" w:line="240" w:lineRule="auto"/>
        <w:jc w:val="center"/>
        <w:rPr>
          <w:rFonts w:ascii="Times New Roman" w:eastAsia="Times New Roman" w:hAnsi="Times New Roman" w:cs="Times New Roman"/>
          <w:sz w:val="24"/>
          <w:szCs w:val="24"/>
        </w:rPr>
      </w:pPr>
    </w:p>
    <w:p w14:paraId="762396E6" w14:textId="512D9C42" w:rsidR="000A4AB1" w:rsidRPr="00460A4E" w:rsidRDefault="008F7BF4" w:rsidP="000A4AB1">
      <w:pPr>
        <w:spacing w:after="0" w:line="240" w:lineRule="auto"/>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26</w:t>
      </w:r>
      <w:r w:rsidR="000A4AB1" w:rsidRPr="00460A4E">
        <w:rPr>
          <w:rFonts w:ascii="Times New Roman" w:eastAsia="Times New Roman" w:hAnsi="Times New Roman" w:cs="Times New Roman"/>
          <w:sz w:val="24"/>
          <w:szCs w:val="24"/>
        </w:rPr>
        <w:t xml:space="preserve"> травня 2025 року </w:t>
      </w:r>
      <w:r w:rsidR="000A4AB1" w:rsidRPr="00460A4E">
        <w:rPr>
          <w:rFonts w:ascii="Times New Roman" w:eastAsia="Times New Roman" w:hAnsi="Times New Roman" w:cs="Times New Roman"/>
          <w:sz w:val="24"/>
          <w:szCs w:val="24"/>
        </w:rPr>
        <w:tab/>
      </w:r>
      <w:r w:rsidR="000A4AB1" w:rsidRPr="00460A4E">
        <w:rPr>
          <w:rFonts w:ascii="Times New Roman" w:eastAsia="Times New Roman" w:hAnsi="Times New Roman" w:cs="Times New Roman"/>
          <w:sz w:val="24"/>
          <w:szCs w:val="24"/>
        </w:rPr>
        <w:tab/>
      </w:r>
      <w:r w:rsidR="000A4AB1" w:rsidRPr="00460A4E">
        <w:rPr>
          <w:rFonts w:ascii="Times New Roman" w:eastAsia="Times New Roman" w:hAnsi="Times New Roman" w:cs="Times New Roman"/>
          <w:sz w:val="24"/>
          <w:szCs w:val="24"/>
        </w:rPr>
        <w:tab/>
      </w:r>
      <w:r w:rsidR="000A4AB1" w:rsidRPr="00460A4E">
        <w:rPr>
          <w:rFonts w:ascii="Times New Roman" w:eastAsia="Times New Roman" w:hAnsi="Times New Roman" w:cs="Times New Roman"/>
          <w:sz w:val="24"/>
          <w:szCs w:val="24"/>
        </w:rPr>
        <w:tab/>
      </w:r>
      <w:r w:rsidR="000A4AB1" w:rsidRPr="00460A4E">
        <w:rPr>
          <w:rFonts w:ascii="Times New Roman" w:eastAsia="Times New Roman" w:hAnsi="Times New Roman" w:cs="Times New Roman"/>
          <w:sz w:val="24"/>
          <w:szCs w:val="24"/>
        </w:rPr>
        <w:tab/>
      </w:r>
      <w:r w:rsidR="000A4AB1" w:rsidRPr="00460A4E">
        <w:rPr>
          <w:rFonts w:ascii="Times New Roman" w:eastAsia="Times New Roman" w:hAnsi="Times New Roman" w:cs="Times New Roman"/>
          <w:sz w:val="24"/>
          <w:szCs w:val="24"/>
        </w:rPr>
        <w:tab/>
      </w:r>
      <w:r w:rsidR="000A4AB1" w:rsidRPr="00460A4E">
        <w:rPr>
          <w:rFonts w:ascii="Times New Roman" w:eastAsia="Times New Roman" w:hAnsi="Times New Roman" w:cs="Times New Roman"/>
          <w:sz w:val="24"/>
          <w:szCs w:val="24"/>
        </w:rPr>
        <w:tab/>
      </w:r>
      <w:r w:rsidR="000A4AB1" w:rsidRPr="00460A4E">
        <w:rPr>
          <w:rFonts w:ascii="Times New Roman" w:eastAsia="Times New Roman" w:hAnsi="Times New Roman" w:cs="Times New Roman"/>
          <w:sz w:val="24"/>
          <w:szCs w:val="24"/>
        </w:rPr>
        <w:tab/>
        <w:t xml:space="preserve">            </w:t>
      </w:r>
      <w:r w:rsidR="00E13C80">
        <w:rPr>
          <w:rFonts w:ascii="Times New Roman" w:eastAsia="Times New Roman" w:hAnsi="Times New Roman" w:cs="Times New Roman"/>
          <w:sz w:val="24"/>
          <w:szCs w:val="24"/>
        </w:rPr>
        <w:t xml:space="preserve">                </w:t>
      </w:r>
      <w:r w:rsidR="000A4AB1" w:rsidRPr="00460A4E">
        <w:rPr>
          <w:rFonts w:ascii="Times New Roman" w:eastAsia="Times New Roman" w:hAnsi="Times New Roman" w:cs="Times New Roman"/>
          <w:sz w:val="24"/>
          <w:szCs w:val="24"/>
        </w:rPr>
        <w:t>м. Київ</w:t>
      </w:r>
    </w:p>
    <w:p w14:paraId="4E60F994" w14:textId="77777777" w:rsidR="000A4AB1" w:rsidRPr="00460A4E" w:rsidRDefault="000A4AB1" w:rsidP="000A4AB1">
      <w:pPr>
        <w:spacing w:after="0" w:line="240" w:lineRule="auto"/>
        <w:rPr>
          <w:rFonts w:ascii="Times New Roman" w:eastAsia="Times New Roman" w:hAnsi="Times New Roman" w:cs="Times New Roman"/>
          <w:sz w:val="24"/>
          <w:szCs w:val="24"/>
        </w:rPr>
      </w:pPr>
    </w:p>
    <w:p w14:paraId="79537EB3" w14:textId="2CB1DED6" w:rsidR="000A4AB1" w:rsidRPr="00ED4B32" w:rsidRDefault="000A4AB1" w:rsidP="000A4AB1">
      <w:pPr>
        <w:spacing w:after="0" w:line="240" w:lineRule="auto"/>
        <w:jc w:val="center"/>
        <w:rPr>
          <w:rFonts w:ascii="Times New Roman" w:eastAsia="Times New Roman" w:hAnsi="Times New Roman" w:cs="Times New Roman"/>
          <w:sz w:val="24"/>
          <w:szCs w:val="24"/>
          <w:u w:val="single"/>
        </w:rPr>
      </w:pPr>
      <w:r w:rsidRPr="00460A4E">
        <w:rPr>
          <w:rFonts w:ascii="Times New Roman" w:eastAsia="Times New Roman" w:hAnsi="Times New Roman" w:cs="Times New Roman"/>
          <w:sz w:val="24"/>
          <w:szCs w:val="24"/>
        </w:rPr>
        <w:t xml:space="preserve">Р І Ш Е Н </w:t>
      </w:r>
      <w:proofErr w:type="spellStart"/>
      <w:r w:rsidRPr="00460A4E">
        <w:rPr>
          <w:rFonts w:ascii="Times New Roman" w:eastAsia="Times New Roman" w:hAnsi="Times New Roman" w:cs="Times New Roman"/>
          <w:sz w:val="24"/>
          <w:szCs w:val="24"/>
        </w:rPr>
        <w:t>Н</w:t>
      </w:r>
      <w:proofErr w:type="spellEnd"/>
      <w:r w:rsidRPr="00460A4E">
        <w:rPr>
          <w:rFonts w:ascii="Times New Roman" w:eastAsia="Times New Roman" w:hAnsi="Times New Roman" w:cs="Times New Roman"/>
          <w:sz w:val="24"/>
          <w:szCs w:val="24"/>
        </w:rPr>
        <w:t xml:space="preserve"> Я</w:t>
      </w:r>
      <w:r w:rsidR="00ED4B32">
        <w:rPr>
          <w:rFonts w:ascii="Times New Roman" w:eastAsia="Times New Roman" w:hAnsi="Times New Roman" w:cs="Times New Roman"/>
          <w:sz w:val="24"/>
          <w:szCs w:val="24"/>
        </w:rPr>
        <w:t xml:space="preserve">  </w:t>
      </w:r>
      <w:r w:rsidRPr="00460A4E">
        <w:rPr>
          <w:rFonts w:ascii="Times New Roman" w:eastAsia="Times New Roman" w:hAnsi="Times New Roman" w:cs="Times New Roman"/>
          <w:sz w:val="24"/>
          <w:szCs w:val="24"/>
        </w:rPr>
        <w:t xml:space="preserve">№ </w:t>
      </w:r>
      <w:r w:rsidR="00ED4B32">
        <w:rPr>
          <w:rFonts w:ascii="Times New Roman" w:eastAsia="Times New Roman" w:hAnsi="Times New Roman" w:cs="Times New Roman"/>
          <w:sz w:val="24"/>
          <w:szCs w:val="24"/>
          <w:u w:val="single"/>
        </w:rPr>
        <w:t>713/дс-25</w:t>
      </w:r>
    </w:p>
    <w:p w14:paraId="1330945D" w14:textId="77777777" w:rsidR="000A4AB1" w:rsidRPr="00460A4E" w:rsidRDefault="000A4AB1" w:rsidP="000A4AB1">
      <w:pPr>
        <w:spacing w:after="0" w:line="240" w:lineRule="auto"/>
        <w:rPr>
          <w:rFonts w:ascii="Times New Roman" w:eastAsia="Times New Roman" w:hAnsi="Times New Roman" w:cs="Times New Roman"/>
          <w:sz w:val="24"/>
          <w:szCs w:val="24"/>
        </w:rPr>
      </w:pPr>
    </w:p>
    <w:p w14:paraId="49B866A9" w14:textId="2A67BD06" w:rsidR="000A4AB1" w:rsidRPr="00460A4E" w:rsidRDefault="000A4AB1" w:rsidP="000A4AB1">
      <w:pPr>
        <w:spacing w:after="0" w:line="240" w:lineRule="auto"/>
        <w:jc w:val="both"/>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8F7BF4" w:rsidRPr="00460A4E">
        <w:rPr>
          <w:rFonts w:ascii="Times New Roman" w:eastAsia="Times New Roman" w:hAnsi="Times New Roman" w:cs="Times New Roman"/>
          <w:sz w:val="24"/>
          <w:szCs w:val="24"/>
        </w:rPr>
        <w:t>5</w:t>
      </w:r>
      <w:r w:rsidRPr="00460A4E">
        <w:rPr>
          <w:rFonts w:ascii="Times New Roman" w:eastAsia="Times New Roman" w:hAnsi="Times New Roman" w:cs="Times New Roman"/>
          <w:sz w:val="24"/>
          <w:szCs w:val="24"/>
        </w:rPr>
        <w:t>:</w:t>
      </w:r>
    </w:p>
    <w:p w14:paraId="4247480C" w14:textId="77777777" w:rsidR="000A4AB1" w:rsidRPr="00460A4E" w:rsidRDefault="000A4AB1" w:rsidP="000A4AB1">
      <w:pPr>
        <w:spacing w:after="0" w:line="240" w:lineRule="auto"/>
        <w:jc w:val="both"/>
        <w:rPr>
          <w:rFonts w:ascii="Times New Roman" w:eastAsia="Times New Roman" w:hAnsi="Times New Roman" w:cs="Times New Roman"/>
          <w:sz w:val="24"/>
          <w:szCs w:val="24"/>
        </w:rPr>
      </w:pPr>
    </w:p>
    <w:p w14:paraId="43A3C85B" w14:textId="79E8721E" w:rsidR="000A4AB1" w:rsidRPr="00460A4E"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 xml:space="preserve">головуючого – </w:t>
      </w:r>
      <w:r w:rsidR="008F7BF4" w:rsidRPr="00460A4E">
        <w:rPr>
          <w:rFonts w:ascii="Times New Roman" w:eastAsia="Times New Roman" w:hAnsi="Times New Roman" w:cs="Times New Roman"/>
          <w:sz w:val="24"/>
          <w:szCs w:val="24"/>
        </w:rPr>
        <w:t>Олексія ОМЕЛЬЯНА</w:t>
      </w:r>
      <w:r w:rsidRPr="00460A4E">
        <w:rPr>
          <w:rFonts w:ascii="Times New Roman" w:eastAsia="Times New Roman" w:hAnsi="Times New Roman" w:cs="Times New Roman"/>
          <w:sz w:val="24"/>
          <w:szCs w:val="24"/>
        </w:rPr>
        <w:t>,</w:t>
      </w:r>
    </w:p>
    <w:p w14:paraId="7D4A1648" w14:textId="77777777" w:rsidR="000A4AB1" w:rsidRPr="00460A4E"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8B46565" w:rsidR="000A4AB1" w:rsidRPr="00460A4E"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 xml:space="preserve">членів Комісії: </w:t>
      </w:r>
      <w:r w:rsidR="008F7BF4" w:rsidRPr="00460A4E">
        <w:rPr>
          <w:rFonts w:ascii="Times New Roman" w:eastAsia="Times New Roman" w:hAnsi="Times New Roman" w:cs="Times New Roman"/>
          <w:sz w:val="24"/>
          <w:szCs w:val="24"/>
        </w:rPr>
        <w:t>Ярослава ДУХА</w:t>
      </w:r>
      <w:r w:rsidRPr="00460A4E">
        <w:rPr>
          <w:rFonts w:ascii="Times New Roman" w:eastAsia="Times New Roman" w:hAnsi="Times New Roman" w:cs="Times New Roman"/>
          <w:sz w:val="24"/>
          <w:szCs w:val="24"/>
        </w:rPr>
        <w:t>,</w:t>
      </w:r>
      <w:r w:rsidR="008F7BF4" w:rsidRPr="00460A4E">
        <w:rPr>
          <w:rFonts w:ascii="Times New Roman" w:eastAsia="Times New Roman" w:hAnsi="Times New Roman" w:cs="Times New Roman"/>
          <w:sz w:val="24"/>
          <w:szCs w:val="24"/>
        </w:rPr>
        <w:t xml:space="preserve"> Володимира ЛУГАНСЬКОГО (доповідач)</w:t>
      </w:r>
      <w:r w:rsidRPr="00460A4E">
        <w:rPr>
          <w:rFonts w:ascii="Times New Roman" w:eastAsia="Times New Roman" w:hAnsi="Times New Roman" w:cs="Times New Roman"/>
          <w:sz w:val="24"/>
          <w:szCs w:val="24"/>
        </w:rPr>
        <w:t>,</w:t>
      </w:r>
    </w:p>
    <w:p w14:paraId="7840AADA" w14:textId="77777777" w:rsidR="000A4AB1" w:rsidRPr="00460A4E" w:rsidRDefault="000A4AB1" w:rsidP="000A4AB1">
      <w:pPr>
        <w:spacing w:after="0" w:line="240" w:lineRule="auto"/>
        <w:jc w:val="both"/>
        <w:rPr>
          <w:rFonts w:ascii="Times New Roman" w:eastAsia="Times New Roman" w:hAnsi="Times New Roman" w:cs="Times New Roman"/>
          <w:sz w:val="24"/>
          <w:szCs w:val="24"/>
        </w:rPr>
      </w:pPr>
    </w:p>
    <w:p w14:paraId="63E76C6C" w14:textId="6D5C1DD0" w:rsidR="000A4AB1" w:rsidRPr="00460A4E" w:rsidRDefault="000A4AB1" w:rsidP="000A4AB1">
      <w:pPr>
        <w:spacing w:after="0" w:line="240" w:lineRule="auto"/>
        <w:jc w:val="both"/>
        <w:rPr>
          <w:rFonts w:ascii="Times New Roman" w:eastAsia="Times New Roman" w:hAnsi="Times New Roman" w:cs="Times New Roman"/>
          <w:b/>
          <w:sz w:val="24"/>
          <w:szCs w:val="24"/>
        </w:rPr>
      </w:pPr>
      <w:r w:rsidRPr="00460A4E">
        <w:rPr>
          <w:rFonts w:ascii="Times New Roman" w:eastAsia="Times New Roman" w:hAnsi="Times New Roman" w:cs="Times New Roman"/>
          <w:sz w:val="24"/>
          <w:szCs w:val="24"/>
        </w:rPr>
        <w:t xml:space="preserve">розглянувши питання допуску </w:t>
      </w:r>
      <w:r w:rsidR="009950CD" w:rsidRPr="00460A4E">
        <w:rPr>
          <w:rFonts w:ascii="Times New Roman" w:eastAsia="Times New Roman" w:hAnsi="Times New Roman" w:cs="Times New Roman"/>
          <w:sz w:val="24"/>
          <w:szCs w:val="24"/>
        </w:rPr>
        <w:t>Сав</w:t>
      </w:r>
      <w:r w:rsidR="009D724F" w:rsidRPr="00460A4E">
        <w:rPr>
          <w:rFonts w:ascii="Times New Roman" w:eastAsia="Times New Roman" w:hAnsi="Times New Roman" w:cs="Times New Roman"/>
          <w:sz w:val="24"/>
          <w:szCs w:val="24"/>
        </w:rPr>
        <w:t>ки Олександра Івановича</w:t>
      </w:r>
      <w:r w:rsidR="00C653B8" w:rsidRPr="00460A4E">
        <w:rPr>
          <w:rFonts w:ascii="Times New Roman" w:eastAsia="Times New Roman" w:hAnsi="Times New Roman" w:cs="Times New Roman"/>
          <w:sz w:val="24"/>
          <w:szCs w:val="24"/>
        </w:rPr>
        <w:t xml:space="preserve"> </w:t>
      </w:r>
      <w:r w:rsidRPr="00460A4E">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460A4E"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460A4E" w:rsidRDefault="000A4AB1" w:rsidP="000A4AB1">
      <w:pPr>
        <w:spacing w:after="0" w:line="240" w:lineRule="auto"/>
        <w:jc w:val="center"/>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встановила:</w:t>
      </w:r>
    </w:p>
    <w:p w14:paraId="3BE8CFBD" w14:textId="77777777" w:rsidR="000A4AB1" w:rsidRPr="00460A4E"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5DD06FA9" w:rsidR="000A4AB1" w:rsidRPr="00460A4E"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460A4E"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460A4E">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460A4E"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460A4E"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457EEE0" w:rsidR="000A4AB1" w:rsidRPr="00460A4E"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460A4E">
        <w:rPr>
          <w:rFonts w:ascii="Times New Roman" w:eastAsia="Times New Roman" w:hAnsi="Times New Roman" w:cs="Times New Roman"/>
          <w:sz w:val="24"/>
          <w:szCs w:val="24"/>
        </w:rPr>
        <w:t xml:space="preserve"> (далі – Оголошення)</w:t>
      </w:r>
      <w:r w:rsidR="009428D0" w:rsidRPr="00460A4E">
        <w:rPr>
          <w:rFonts w:ascii="Times New Roman" w:eastAsia="Times New Roman" w:hAnsi="Times New Roman" w:cs="Times New Roman"/>
          <w:sz w:val="24"/>
          <w:szCs w:val="24"/>
        </w:rPr>
        <w:t>,</w:t>
      </w:r>
      <w:r w:rsidRPr="00460A4E">
        <w:rPr>
          <w:rFonts w:ascii="Times New Roman" w:eastAsia="Times New Roman" w:hAnsi="Times New Roman" w:cs="Times New Roman"/>
          <w:sz w:val="24"/>
          <w:szCs w:val="24"/>
        </w:rPr>
        <w:t xml:space="preserve"> </w:t>
      </w:r>
      <w:r w:rsidR="00E13C80">
        <w:rPr>
          <w:rFonts w:ascii="Times New Roman" w:eastAsia="Times New Roman" w:hAnsi="Times New Roman" w:cs="Times New Roman"/>
          <w:sz w:val="24"/>
          <w:szCs w:val="24"/>
        </w:rPr>
        <w:t>передбачено</w:t>
      </w:r>
      <w:r w:rsidRPr="00460A4E">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E13C80">
        <w:rPr>
          <w:rFonts w:ascii="Times New Roman" w:eastAsia="Times New Roman" w:hAnsi="Times New Roman" w:cs="Times New Roman"/>
          <w:sz w:val="24"/>
          <w:szCs w:val="24"/>
        </w:rPr>
        <w:t>в</w:t>
      </w:r>
      <w:r w:rsidRPr="00460A4E">
        <w:rPr>
          <w:rFonts w:ascii="Times New Roman" w:eastAsia="Times New Roman" w:hAnsi="Times New Roman" w:cs="Times New Roman"/>
          <w:sz w:val="24"/>
          <w:szCs w:val="24"/>
        </w:rPr>
        <w:t xml:space="preserve"> </w:t>
      </w:r>
      <w:r w:rsidR="00E13C80">
        <w:rPr>
          <w:rFonts w:ascii="Times New Roman" w:eastAsia="Times New Roman" w:hAnsi="Times New Roman" w:cs="Times New Roman"/>
          <w:sz w:val="24"/>
          <w:szCs w:val="24"/>
        </w:rPr>
        <w:t>Д</w:t>
      </w:r>
      <w:r w:rsidRPr="00460A4E">
        <w:rPr>
          <w:rFonts w:ascii="Times New Roman" w:eastAsia="Times New Roman" w:hAnsi="Times New Roman" w:cs="Times New Roman"/>
          <w:sz w:val="24"/>
          <w:szCs w:val="24"/>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E13C80">
        <w:rPr>
          <w:rFonts w:ascii="Times New Roman" w:eastAsia="Times New Roman" w:hAnsi="Times New Roman" w:cs="Times New Roman"/>
          <w:sz w:val="24"/>
          <w:szCs w:val="24"/>
        </w:rPr>
        <w:t>Д</w:t>
      </w:r>
      <w:r w:rsidRPr="00460A4E">
        <w:rPr>
          <w:rFonts w:ascii="Times New Roman" w:eastAsia="Times New Roman" w:hAnsi="Times New Roman" w:cs="Times New Roman"/>
          <w:sz w:val="24"/>
          <w:szCs w:val="24"/>
        </w:rPr>
        <w:t>оборі.</w:t>
      </w:r>
    </w:p>
    <w:p w14:paraId="251872FE" w14:textId="2DE46014" w:rsidR="000A4AB1" w:rsidRPr="00460A4E" w:rsidRDefault="000A4AB1" w:rsidP="00CF2A49">
      <w:pPr>
        <w:widowControl w:val="0"/>
        <w:spacing w:after="0" w:line="240" w:lineRule="auto"/>
        <w:ind w:firstLine="709"/>
        <w:jc w:val="both"/>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 xml:space="preserve">Згідно з підпунктом 14.2 пункту 14 </w:t>
      </w:r>
      <w:r w:rsidR="005351B7" w:rsidRPr="00460A4E">
        <w:rPr>
          <w:rFonts w:ascii="Times New Roman" w:eastAsia="Times New Roman" w:hAnsi="Times New Roman" w:cs="Times New Roman"/>
          <w:sz w:val="24"/>
          <w:szCs w:val="24"/>
        </w:rPr>
        <w:t>О</w:t>
      </w:r>
      <w:r w:rsidRPr="00460A4E">
        <w:rPr>
          <w:rFonts w:ascii="Times New Roman" w:eastAsia="Times New Roman" w:hAnsi="Times New Roman" w:cs="Times New Roman"/>
          <w:sz w:val="24"/>
          <w:szCs w:val="24"/>
        </w:rPr>
        <w:t xml:space="preserve">голошення до участі </w:t>
      </w:r>
      <w:r w:rsidR="00E13C80">
        <w:rPr>
          <w:rFonts w:ascii="Times New Roman" w:eastAsia="Times New Roman" w:hAnsi="Times New Roman" w:cs="Times New Roman"/>
          <w:sz w:val="24"/>
          <w:szCs w:val="24"/>
        </w:rPr>
        <w:t>в</w:t>
      </w:r>
      <w:r w:rsidRPr="00460A4E">
        <w:rPr>
          <w:rFonts w:ascii="Times New Roman" w:eastAsia="Times New Roman" w:hAnsi="Times New Roman" w:cs="Times New Roman"/>
          <w:sz w:val="24"/>
          <w:szCs w:val="24"/>
        </w:rPr>
        <w:t xml:space="preserve"> </w:t>
      </w:r>
      <w:r w:rsidR="00E13C80">
        <w:rPr>
          <w:rFonts w:ascii="Times New Roman" w:eastAsia="Times New Roman" w:hAnsi="Times New Roman" w:cs="Times New Roman"/>
          <w:sz w:val="24"/>
          <w:szCs w:val="24"/>
        </w:rPr>
        <w:t>Д</w:t>
      </w:r>
      <w:r w:rsidRPr="00460A4E">
        <w:rPr>
          <w:rFonts w:ascii="Times New Roman" w:eastAsia="Times New Roman" w:hAnsi="Times New Roman" w:cs="Times New Roman"/>
          <w:sz w:val="24"/>
          <w:szCs w:val="24"/>
        </w:rPr>
        <w:t>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8EA04F4" w14:textId="48BDC313" w:rsidR="00E76590" w:rsidRPr="00460A4E" w:rsidRDefault="00E76590" w:rsidP="00E76590">
      <w:pPr>
        <w:widowControl w:val="0"/>
        <w:spacing w:after="0" w:line="240" w:lineRule="auto"/>
        <w:ind w:firstLine="567"/>
        <w:jc w:val="both"/>
        <w:rPr>
          <w:rFonts w:ascii="Times New Roman" w:eastAsia="Times New Roman" w:hAnsi="Times New Roman" w:cs="Times New Roman"/>
          <w:sz w:val="24"/>
          <w:szCs w:val="24"/>
          <w:shd w:val="clear" w:color="auto" w:fill="FFFFFF"/>
        </w:rPr>
      </w:pPr>
      <w:r w:rsidRPr="00460A4E">
        <w:rPr>
          <w:rFonts w:ascii="Times New Roman" w:eastAsia="Times New Roman" w:hAnsi="Times New Roman" w:cs="Times New Roman"/>
          <w:sz w:val="24"/>
          <w:szCs w:val="24"/>
          <w:shd w:val="clear" w:color="auto" w:fill="FFFFFF"/>
        </w:rPr>
        <w:t>У визначений строк до Комісії із заявою про участь у Доборі звернувся Савка О.І.</w:t>
      </w:r>
    </w:p>
    <w:p w14:paraId="34CCDF15" w14:textId="47E14DB6" w:rsidR="00E76590" w:rsidRPr="00460A4E" w:rsidRDefault="00E76590" w:rsidP="00E76590">
      <w:pPr>
        <w:widowControl w:val="0"/>
        <w:spacing w:after="0" w:line="240" w:lineRule="auto"/>
        <w:ind w:firstLine="567"/>
        <w:jc w:val="both"/>
        <w:rPr>
          <w:rFonts w:ascii="Times New Roman" w:hAnsi="Times New Roman" w:cs="Times New Roman"/>
          <w:bCs/>
          <w:sz w:val="24"/>
          <w:szCs w:val="24"/>
        </w:rPr>
      </w:pPr>
      <w:r w:rsidRPr="00460A4E">
        <w:rPr>
          <w:rFonts w:ascii="Times New Roman" w:hAnsi="Times New Roman" w:cs="Times New Roman"/>
          <w:sz w:val="24"/>
          <w:szCs w:val="24"/>
          <w:shd w:val="clear" w:color="auto" w:fill="FFFFFF"/>
        </w:rPr>
        <w:t xml:space="preserve">Дослідивши подані </w:t>
      </w:r>
      <w:proofErr w:type="spellStart"/>
      <w:r w:rsidRPr="00460A4E">
        <w:rPr>
          <w:rFonts w:ascii="Times New Roman" w:hAnsi="Times New Roman" w:cs="Times New Roman"/>
          <w:sz w:val="24"/>
          <w:szCs w:val="24"/>
          <w:shd w:val="clear" w:color="auto" w:fill="FFFFFF"/>
        </w:rPr>
        <w:t>Савкою</w:t>
      </w:r>
      <w:proofErr w:type="spellEnd"/>
      <w:r w:rsidRPr="00460A4E">
        <w:rPr>
          <w:rFonts w:ascii="Times New Roman" w:hAnsi="Times New Roman" w:cs="Times New Roman"/>
          <w:sz w:val="24"/>
          <w:szCs w:val="24"/>
          <w:shd w:val="clear" w:color="auto" w:fill="FFFFFF"/>
        </w:rPr>
        <w:t xml:space="preserve"> О.І. документи, Комісія встановила, що ним не надано </w:t>
      </w:r>
      <w:r w:rsidRPr="00460A4E">
        <w:rPr>
          <w:rFonts w:ascii="Times New Roman" w:hAnsi="Times New Roman" w:cs="Times New Roman"/>
          <w:bCs/>
          <w:sz w:val="24"/>
          <w:szCs w:val="24"/>
        </w:rPr>
        <w:t xml:space="preserve">автобіографії. </w:t>
      </w:r>
    </w:p>
    <w:p w14:paraId="75676DBD" w14:textId="1BD17FF6" w:rsidR="00FF2505" w:rsidRPr="00460A4E" w:rsidRDefault="00E13C80" w:rsidP="006B44C8">
      <w:pPr>
        <w:pStyle w:val="rvps2"/>
        <w:shd w:val="clear" w:color="auto" w:fill="FFFFFF"/>
        <w:spacing w:before="0" w:beforeAutospacing="0" w:after="0" w:afterAutospacing="0"/>
        <w:ind w:firstLine="567"/>
        <w:jc w:val="both"/>
      </w:pPr>
      <w:r>
        <w:rPr>
          <w:rStyle w:val="a4"/>
          <w:b w:val="0"/>
          <w:shd w:val="clear" w:color="auto" w:fill="FFFFFF"/>
        </w:rPr>
        <w:t>Пунктом</w:t>
      </w:r>
      <w:r w:rsidR="00071348" w:rsidRPr="00460A4E">
        <w:rPr>
          <w:rStyle w:val="a4"/>
          <w:b w:val="0"/>
          <w:shd w:val="clear" w:color="auto" w:fill="FFFFFF"/>
        </w:rPr>
        <w:t xml:space="preserve"> 10 частини першої статті 72 Закону </w:t>
      </w:r>
      <w:r>
        <w:rPr>
          <w:rStyle w:val="a4"/>
          <w:b w:val="0"/>
          <w:shd w:val="clear" w:color="auto" w:fill="FFFFFF"/>
        </w:rPr>
        <w:t xml:space="preserve">визначено, що </w:t>
      </w:r>
      <w:r w:rsidR="00071348" w:rsidRPr="00460A4E">
        <w:rPr>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w:t>
      </w:r>
      <w:r w:rsidR="00071348" w:rsidRPr="00460A4E">
        <w:rPr>
          <w:shd w:val="clear" w:color="auto" w:fill="FFFFFF"/>
        </w:rPr>
        <w:lastRenderedPageBreak/>
        <w:t>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00071348" w:rsidRPr="00460A4E">
        <w:t xml:space="preserve"> проведення спеціальної перевірки особа подає, зокрема, </w:t>
      </w:r>
      <w:bookmarkStart w:id="0" w:name="n579"/>
      <w:bookmarkStart w:id="1" w:name="n580"/>
      <w:bookmarkEnd w:id="0"/>
      <w:bookmarkEnd w:id="1"/>
      <w:r w:rsidR="00071348" w:rsidRPr="00460A4E">
        <w:t xml:space="preserve">автобіографію. Про подання автобіографії зазначено </w:t>
      </w:r>
      <w:r>
        <w:t>в</w:t>
      </w:r>
      <w:r w:rsidR="00071348" w:rsidRPr="00460A4E">
        <w:t xml:space="preserve"> підпункті </w:t>
      </w:r>
      <w:r w:rsidR="00071348" w:rsidRPr="00460A4E">
        <w:rPr>
          <w:rStyle w:val="a4"/>
          <w:b w:val="0"/>
          <w:shd w:val="clear" w:color="auto" w:fill="FFFFFF"/>
        </w:rPr>
        <w:t xml:space="preserve">13.12.1 пункту 13 </w:t>
      </w:r>
      <w:bookmarkStart w:id="2" w:name="_Hlk196906394"/>
      <w:r w:rsidR="00071348" w:rsidRPr="00460A4E">
        <w:rPr>
          <w:rStyle w:val="a4"/>
          <w:b w:val="0"/>
          <w:shd w:val="clear" w:color="auto" w:fill="FFFFFF"/>
        </w:rPr>
        <w:t xml:space="preserve">Оголошення. </w:t>
      </w:r>
      <w:bookmarkEnd w:id="2"/>
      <w:r w:rsidR="00071348" w:rsidRPr="00460A4E">
        <w:rPr>
          <w:rStyle w:val="a4"/>
          <w:b w:val="0"/>
          <w:shd w:val="clear" w:color="auto" w:fill="FFFFFF"/>
        </w:rPr>
        <w:t xml:space="preserve">На сторінці «Добір </w:t>
      </w:r>
      <w:r w:rsidR="00071348" w:rsidRPr="00460A4E">
        <w:t xml:space="preserve">кандидатів на посаду судді місцевого суду, оголошений 11.12.2024» офіційного </w:t>
      </w:r>
      <w:proofErr w:type="spellStart"/>
      <w:r w:rsidR="00071348" w:rsidRPr="00460A4E">
        <w:t>вебсайту</w:t>
      </w:r>
      <w:proofErr w:type="spellEnd"/>
      <w:r w:rsidR="00071348" w:rsidRPr="00460A4E">
        <w:t xml:space="preserve"> Комісії розміщено роз’яснення «Щодо автобіографії», </w:t>
      </w:r>
      <w:r>
        <w:t>у</w:t>
      </w:r>
      <w:r w:rsidR="00071348" w:rsidRPr="00460A4E">
        <w:t xml:space="preserve"> якому наголошено на необхідності подання автобіографії та розтлумачено структуру і зміст відповідного документа. </w:t>
      </w:r>
    </w:p>
    <w:p w14:paraId="271A4C4D" w14:textId="59C5308B" w:rsidR="00E64007" w:rsidRPr="00460A4E" w:rsidRDefault="006B44C8" w:rsidP="006B44C8">
      <w:pPr>
        <w:pStyle w:val="rvps2"/>
        <w:shd w:val="clear" w:color="auto" w:fill="FFFFFF"/>
        <w:spacing w:before="0" w:beforeAutospacing="0" w:after="0" w:afterAutospacing="0"/>
        <w:ind w:firstLine="567"/>
        <w:jc w:val="both"/>
      </w:pPr>
      <w:r w:rsidRPr="00460A4E">
        <w:rPr>
          <w:shd w:val="clear" w:color="auto" w:fill="FFFFFF"/>
        </w:rPr>
        <w:t>Також Комісія встановила, що</w:t>
      </w:r>
      <w:r w:rsidRPr="00460A4E">
        <w:t xml:space="preserve"> </w:t>
      </w:r>
      <w:proofErr w:type="spellStart"/>
      <w:r w:rsidRPr="00460A4E">
        <w:t>Савкою</w:t>
      </w:r>
      <w:proofErr w:type="spellEnd"/>
      <w:r w:rsidRPr="00460A4E">
        <w:t xml:space="preserve"> О.І. не надано сертифіката про рівень володіння державною мовою.  </w:t>
      </w:r>
    </w:p>
    <w:p w14:paraId="0C73C533" w14:textId="77777777" w:rsidR="00FF2505" w:rsidRPr="00460A4E" w:rsidRDefault="00FF2505" w:rsidP="00CF2A49">
      <w:pPr>
        <w:pBdr>
          <w:top w:val="nil"/>
          <w:left w:val="nil"/>
          <w:bottom w:val="nil"/>
          <w:right w:val="nil"/>
          <w:between w:val="nil"/>
        </w:pBdr>
        <w:spacing w:after="0" w:line="240" w:lineRule="auto"/>
        <w:ind w:firstLineChars="271" w:firstLine="650"/>
        <w:jc w:val="both"/>
        <w:rPr>
          <w:rFonts w:ascii="Times New Roman" w:hAnsi="Times New Roman" w:cs="Times New Roman"/>
          <w:sz w:val="24"/>
          <w:szCs w:val="24"/>
        </w:rPr>
      </w:pPr>
      <w:r w:rsidRPr="00460A4E">
        <w:rPr>
          <w:rFonts w:ascii="Times New Roman" w:hAnsi="Times New Roman" w:cs="Times New Roman"/>
          <w:sz w:val="24"/>
          <w:szCs w:val="24"/>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060E242" w14:textId="4363D974" w:rsidR="00FF2505" w:rsidRPr="00460A4E" w:rsidRDefault="00FF2505" w:rsidP="00CF2A49">
      <w:pPr>
        <w:shd w:val="clear" w:color="auto" w:fill="FFFFFF"/>
        <w:spacing w:after="0" w:line="240" w:lineRule="auto"/>
        <w:ind w:firstLineChars="271" w:firstLine="650"/>
        <w:jc w:val="both"/>
        <w:rPr>
          <w:rFonts w:ascii="Times New Roman" w:hAnsi="Times New Roman" w:cs="Times New Roman"/>
          <w:sz w:val="24"/>
          <w:szCs w:val="24"/>
        </w:rPr>
      </w:pPr>
      <w:r w:rsidRPr="00460A4E">
        <w:rPr>
          <w:rFonts w:ascii="Times New Roman" w:hAnsi="Times New Roman" w:cs="Times New Roman"/>
          <w:sz w:val="24"/>
          <w:szCs w:val="24"/>
        </w:rPr>
        <w:t>Згідно з підпунктом 13.14 пункту 13 Оголошення документом, що підтверджує відповідний рівень володіння державною мовою, встановлен</w:t>
      </w:r>
      <w:r w:rsidR="00E13C80">
        <w:rPr>
          <w:rFonts w:ascii="Times New Roman" w:hAnsi="Times New Roman" w:cs="Times New Roman"/>
          <w:sz w:val="24"/>
          <w:szCs w:val="24"/>
        </w:rPr>
        <w:t>ий</w:t>
      </w:r>
      <w:r w:rsidRPr="00460A4E">
        <w:rPr>
          <w:rFonts w:ascii="Times New Roman" w:hAnsi="Times New Roman" w:cs="Times New Roman"/>
          <w:sz w:val="24"/>
          <w:szCs w:val="24"/>
        </w:rPr>
        <w:t xml:space="preserve">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5436FB23" w14:textId="77777777" w:rsidR="00CF2A49" w:rsidRPr="00460A4E" w:rsidRDefault="00CF2A49" w:rsidP="00CF2A49">
      <w:pPr>
        <w:shd w:val="clear" w:color="auto" w:fill="FFFFFF"/>
        <w:spacing w:after="0" w:line="240" w:lineRule="auto"/>
        <w:ind w:firstLineChars="271" w:firstLine="650"/>
        <w:jc w:val="both"/>
        <w:rPr>
          <w:rFonts w:ascii="Times New Roman" w:hAnsi="Times New Roman" w:cs="Times New Roman"/>
          <w:sz w:val="24"/>
          <w:szCs w:val="24"/>
        </w:rPr>
      </w:pPr>
      <w:r w:rsidRPr="00460A4E">
        <w:rPr>
          <w:rFonts w:ascii="Times New Roman" w:hAnsi="Times New Roman" w:cs="Times New Roman"/>
          <w:sz w:val="24"/>
          <w:szCs w:val="24"/>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5C4D51E4" w14:textId="69E867E3" w:rsidR="00CF2A49" w:rsidRPr="00460A4E" w:rsidRDefault="00CF2A49" w:rsidP="00CF2A49">
      <w:pPr>
        <w:shd w:val="clear" w:color="auto" w:fill="FFFFFF"/>
        <w:spacing w:after="0" w:line="240" w:lineRule="auto"/>
        <w:ind w:firstLineChars="271" w:firstLine="650"/>
        <w:jc w:val="both"/>
        <w:rPr>
          <w:rFonts w:ascii="Times New Roman" w:hAnsi="Times New Roman" w:cs="Times New Roman"/>
          <w:sz w:val="24"/>
          <w:szCs w:val="24"/>
          <w:shd w:val="clear" w:color="auto" w:fill="FFFFFF"/>
        </w:rPr>
      </w:pPr>
      <w:r w:rsidRPr="00460A4E">
        <w:rPr>
          <w:rFonts w:ascii="Times New Roman" w:hAnsi="Times New Roman" w:cs="Times New Roman"/>
          <w:sz w:val="24"/>
          <w:szCs w:val="24"/>
          <w:shd w:val="clear" w:color="auto" w:fill="FFFFFF"/>
        </w:rPr>
        <w:t xml:space="preserve">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w:t>
      </w:r>
      <w:r w:rsidRPr="00ED4B32">
        <w:rPr>
          <w:rFonts w:ascii="Times New Roman" w:hAnsi="Times New Roman" w:cs="Times New Roman"/>
          <w:sz w:val="24"/>
          <w:szCs w:val="24"/>
          <w:shd w:val="clear" w:color="auto" w:fill="FFFFFF"/>
        </w:rPr>
        <w:t>частиною першою</w:t>
      </w:r>
      <w:r w:rsidRPr="00460A4E">
        <w:rPr>
          <w:rFonts w:ascii="Times New Roman" w:hAnsi="Times New Roman" w:cs="Times New Roman"/>
          <w:sz w:val="24"/>
          <w:szCs w:val="24"/>
          <w:shd w:val="clear" w:color="auto" w:fill="FFFFFF"/>
        </w:rPr>
        <w:t xml:space="preserve"> цієї статті.</w:t>
      </w:r>
    </w:p>
    <w:p w14:paraId="1D4B926A" w14:textId="77777777" w:rsidR="00CF2A49" w:rsidRPr="00460A4E" w:rsidRDefault="00CF2A49" w:rsidP="00CF2A49">
      <w:pPr>
        <w:shd w:val="clear" w:color="auto" w:fill="FFFFFF"/>
        <w:spacing w:after="0" w:line="240" w:lineRule="auto"/>
        <w:ind w:firstLineChars="271" w:firstLine="650"/>
        <w:jc w:val="both"/>
        <w:rPr>
          <w:rFonts w:ascii="Times New Roman" w:hAnsi="Times New Roman" w:cs="Times New Roman"/>
          <w:sz w:val="24"/>
          <w:szCs w:val="24"/>
        </w:rPr>
      </w:pPr>
      <w:r w:rsidRPr="00460A4E">
        <w:rPr>
          <w:rFonts w:ascii="Times New Roman" w:hAnsi="Times New Roman" w:cs="Times New Roman"/>
          <w:sz w:val="24"/>
          <w:szCs w:val="24"/>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773CA646" w14:textId="3EBE83CB" w:rsidR="00CF2A49" w:rsidRPr="00460A4E" w:rsidRDefault="00CF2A49" w:rsidP="00CF2A49">
      <w:pPr>
        <w:shd w:val="clear" w:color="auto" w:fill="FFFFFF"/>
        <w:spacing w:after="0" w:line="240" w:lineRule="auto"/>
        <w:ind w:firstLineChars="271" w:firstLine="650"/>
        <w:jc w:val="both"/>
        <w:rPr>
          <w:rFonts w:ascii="Times New Roman" w:hAnsi="Times New Roman" w:cs="Times New Roman"/>
          <w:sz w:val="24"/>
          <w:szCs w:val="24"/>
        </w:rPr>
      </w:pPr>
      <w:r w:rsidRPr="00460A4E">
        <w:rPr>
          <w:rFonts w:ascii="Times New Roman" w:hAnsi="Times New Roman" w:cs="Times New Roman"/>
          <w:sz w:val="24"/>
          <w:szCs w:val="24"/>
        </w:rPr>
        <w:t>Рішенням</w:t>
      </w:r>
      <w:r w:rsidRPr="00ED4B32">
        <w:rPr>
          <w:rFonts w:ascii="Times New Roman" w:hAnsi="Times New Roman" w:cs="Times New Roman"/>
          <w:sz w:val="72"/>
          <w:szCs w:val="72"/>
        </w:rPr>
        <w:t xml:space="preserve"> </w:t>
      </w:r>
      <w:r w:rsidRPr="00460A4E">
        <w:rPr>
          <w:rFonts w:ascii="Times New Roman" w:hAnsi="Times New Roman" w:cs="Times New Roman"/>
          <w:sz w:val="24"/>
          <w:szCs w:val="24"/>
        </w:rPr>
        <w:t>Національної</w:t>
      </w:r>
      <w:r w:rsidRPr="00ED4B32">
        <w:rPr>
          <w:rFonts w:ascii="Times New Roman" w:hAnsi="Times New Roman" w:cs="Times New Roman"/>
          <w:sz w:val="72"/>
          <w:szCs w:val="72"/>
        </w:rPr>
        <w:t xml:space="preserve"> </w:t>
      </w:r>
      <w:r w:rsidRPr="00460A4E">
        <w:rPr>
          <w:rFonts w:ascii="Times New Roman" w:hAnsi="Times New Roman" w:cs="Times New Roman"/>
          <w:sz w:val="24"/>
          <w:szCs w:val="24"/>
        </w:rPr>
        <w:t>комісії</w:t>
      </w:r>
      <w:r w:rsidRPr="00ED4B32">
        <w:rPr>
          <w:rFonts w:ascii="Times New Roman" w:hAnsi="Times New Roman" w:cs="Times New Roman"/>
          <w:sz w:val="72"/>
          <w:szCs w:val="72"/>
        </w:rPr>
        <w:t xml:space="preserve"> </w:t>
      </w:r>
      <w:r w:rsidRPr="00460A4E">
        <w:rPr>
          <w:rFonts w:ascii="Times New Roman" w:hAnsi="Times New Roman" w:cs="Times New Roman"/>
          <w:sz w:val="24"/>
          <w:szCs w:val="24"/>
        </w:rPr>
        <w:t>зі</w:t>
      </w:r>
      <w:r w:rsidRPr="00ED4B32">
        <w:rPr>
          <w:rFonts w:ascii="Times New Roman" w:hAnsi="Times New Roman" w:cs="Times New Roman"/>
          <w:sz w:val="72"/>
          <w:szCs w:val="72"/>
        </w:rPr>
        <w:t xml:space="preserve"> </w:t>
      </w:r>
      <w:r w:rsidRPr="00460A4E">
        <w:rPr>
          <w:rFonts w:ascii="Times New Roman" w:hAnsi="Times New Roman" w:cs="Times New Roman"/>
          <w:sz w:val="24"/>
          <w:szCs w:val="24"/>
        </w:rPr>
        <w:t>стандартів</w:t>
      </w:r>
      <w:r w:rsidRPr="00ED4B32">
        <w:rPr>
          <w:rFonts w:ascii="Times New Roman" w:hAnsi="Times New Roman" w:cs="Times New Roman"/>
          <w:sz w:val="72"/>
          <w:szCs w:val="72"/>
        </w:rPr>
        <w:t xml:space="preserve"> </w:t>
      </w:r>
      <w:r w:rsidRPr="00460A4E">
        <w:rPr>
          <w:rFonts w:ascii="Times New Roman" w:hAnsi="Times New Roman" w:cs="Times New Roman"/>
          <w:sz w:val="24"/>
          <w:szCs w:val="24"/>
        </w:rPr>
        <w:t>державної</w:t>
      </w:r>
      <w:r w:rsidRPr="00ED4B32">
        <w:rPr>
          <w:rFonts w:ascii="Times New Roman" w:hAnsi="Times New Roman" w:cs="Times New Roman"/>
          <w:sz w:val="72"/>
          <w:szCs w:val="72"/>
        </w:rPr>
        <w:t xml:space="preserve"> </w:t>
      </w:r>
      <w:r w:rsidRPr="00460A4E">
        <w:rPr>
          <w:rFonts w:ascii="Times New Roman" w:hAnsi="Times New Roman" w:cs="Times New Roman"/>
          <w:sz w:val="24"/>
          <w:szCs w:val="24"/>
        </w:rPr>
        <w:t>мови</w:t>
      </w:r>
      <w:r w:rsidRPr="00ED4B32">
        <w:rPr>
          <w:rFonts w:ascii="Times New Roman" w:hAnsi="Times New Roman" w:cs="Times New Roman"/>
          <w:sz w:val="72"/>
          <w:szCs w:val="72"/>
        </w:rPr>
        <w:t xml:space="preserve"> </w:t>
      </w:r>
      <w:r w:rsidRPr="00460A4E">
        <w:rPr>
          <w:rFonts w:ascii="Times New Roman" w:hAnsi="Times New Roman" w:cs="Times New Roman"/>
          <w:sz w:val="24"/>
          <w:szCs w:val="24"/>
        </w:rPr>
        <w:t>від</w:t>
      </w:r>
      <w:r w:rsidRPr="00ED4B32">
        <w:rPr>
          <w:rFonts w:ascii="Times New Roman" w:hAnsi="Times New Roman" w:cs="Times New Roman"/>
          <w:sz w:val="72"/>
          <w:szCs w:val="72"/>
        </w:rPr>
        <w:t xml:space="preserve"> </w:t>
      </w:r>
      <w:r w:rsidRPr="00460A4E">
        <w:rPr>
          <w:rFonts w:ascii="Times New Roman" w:hAnsi="Times New Roman" w:cs="Times New Roman"/>
          <w:sz w:val="24"/>
          <w:szCs w:val="24"/>
        </w:rPr>
        <w:t>24</w:t>
      </w:r>
      <w:r w:rsidRPr="00ED4B32">
        <w:rPr>
          <w:rFonts w:ascii="Times New Roman" w:hAnsi="Times New Roman" w:cs="Times New Roman"/>
          <w:sz w:val="72"/>
          <w:szCs w:val="72"/>
        </w:rPr>
        <w:t xml:space="preserve"> </w:t>
      </w:r>
      <w:r w:rsidRPr="00460A4E">
        <w:rPr>
          <w:rFonts w:ascii="Times New Roman" w:hAnsi="Times New Roman" w:cs="Times New Roman"/>
          <w:sz w:val="24"/>
          <w:szCs w:val="24"/>
        </w:rPr>
        <w:t>червня</w:t>
      </w:r>
      <w:r w:rsidRPr="00ED4B32">
        <w:rPr>
          <w:rFonts w:ascii="Times New Roman" w:hAnsi="Times New Roman" w:cs="Times New Roman"/>
          <w:sz w:val="72"/>
          <w:szCs w:val="72"/>
        </w:rPr>
        <w:t xml:space="preserve"> </w:t>
      </w:r>
      <w:r w:rsidRPr="00460A4E">
        <w:rPr>
          <w:rFonts w:ascii="Times New Roman" w:hAnsi="Times New Roman" w:cs="Times New Roman"/>
          <w:sz w:val="24"/>
          <w:szCs w:val="24"/>
        </w:rPr>
        <w:t>2021 року № 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56CE5684" w14:textId="29761683" w:rsidR="006B44C8" w:rsidRPr="00460A4E" w:rsidRDefault="006B44C8" w:rsidP="00CF2A49">
      <w:pPr>
        <w:shd w:val="clear" w:color="auto" w:fill="FFFFFF"/>
        <w:spacing w:after="0" w:line="240" w:lineRule="auto"/>
        <w:ind w:firstLineChars="271" w:firstLine="650"/>
        <w:jc w:val="both"/>
        <w:rPr>
          <w:rFonts w:ascii="Times New Roman" w:hAnsi="Times New Roman" w:cs="Times New Roman"/>
          <w:sz w:val="24"/>
          <w:szCs w:val="24"/>
          <w:shd w:val="clear" w:color="auto" w:fill="FFFFFF"/>
        </w:rPr>
      </w:pPr>
      <w:r w:rsidRPr="00460A4E">
        <w:rPr>
          <w:rFonts w:ascii="Times New Roman" w:hAnsi="Times New Roman" w:cs="Times New Roman"/>
          <w:sz w:val="24"/>
          <w:szCs w:val="24"/>
        </w:rPr>
        <w:t xml:space="preserve">Крім того, </w:t>
      </w:r>
      <w:proofErr w:type="spellStart"/>
      <w:r w:rsidRPr="00460A4E">
        <w:rPr>
          <w:rFonts w:ascii="Times New Roman" w:hAnsi="Times New Roman" w:cs="Times New Roman"/>
          <w:sz w:val="24"/>
          <w:szCs w:val="24"/>
        </w:rPr>
        <w:t>Савкою</w:t>
      </w:r>
      <w:proofErr w:type="spellEnd"/>
      <w:r w:rsidRPr="00460A4E">
        <w:rPr>
          <w:rFonts w:ascii="Times New Roman" w:hAnsi="Times New Roman" w:cs="Times New Roman"/>
          <w:sz w:val="24"/>
          <w:szCs w:val="24"/>
        </w:rPr>
        <w:t xml:space="preserve"> О.І.</w:t>
      </w:r>
      <w:r w:rsidR="004F3530" w:rsidRPr="00460A4E">
        <w:rPr>
          <w:rFonts w:ascii="Times New Roman" w:hAnsi="Times New Roman" w:cs="Times New Roman"/>
          <w:sz w:val="24"/>
          <w:szCs w:val="24"/>
        </w:rPr>
        <w:t xml:space="preserve"> подано довідку про результати обов’язкового медичного профілактичного огляду </w:t>
      </w:r>
      <w:r w:rsidR="004F3530" w:rsidRPr="00460A4E">
        <w:rPr>
          <w:rFonts w:ascii="Times New Roman" w:hAnsi="Times New Roman" w:cs="Times New Roman"/>
          <w:sz w:val="24"/>
          <w:szCs w:val="24"/>
          <w:shd w:val="clear" w:color="auto" w:fill="FFFFFF"/>
        </w:rPr>
        <w:t>від 28 березня 2025 року (форма первинної облікової документації № 086-1/о). </w:t>
      </w:r>
    </w:p>
    <w:p w14:paraId="3716A6FF" w14:textId="77777777" w:rsidR="004F3530" w:rsidRPr="00460A4E" w:rsidRDefault="004F3530" w:rsidP="004F3530">
      <w:pPr>
        <w:pStyle w:val="rtejustify"/>
        <w:shd w:val="clear" w:color="auto" w:fill="FFFFFF"/>
        <w:spacing w:before="0" w:beforeAutospacing="0" w:after="0" w:afterAutospacing="0"/>
        <w:ind w:firstLine="705"/>
        <w:jc w:val="both"/>
      </w:pPr>
      <w:r w:rsidRPr="00460A4E">
        <w:t>Пунктом 8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w:t>
      </w:r>
    </w:p>
    <w:p w14:paraId="7B1148D1" w14:textId="7FBF94FD" w:rsidR="004F3530" w:rsidRPr="00460A4E" w:rsidRDefault="004F3530" w:rsidP="004F3530">
      <w:pPr>
        <w:pStyle w:val="rtejustify"/>
        <w:shd w:val="clear" w:color="auto" w:fill="FFFFFF"/>
        <w:spacing w:before="0" w:beforeAutospacing="0" w:after="0" w:afterAutospacing="0"/>
        <w:ind w:firstLine="705"/>
        <w:jc w:val="both"/>
      </w:pPr>
      <w:r w:rsidRPr="00460A4E">
        <w:t xml:space="preserve">Відповідно до підпункту 13.10 пункту 13 Оголошення для участі в Доборі особа має разом із заявою про участь у ньому надати довідку про проходження нею попереднього, періодичного та позачергового психіатричних оглядів за формою первинної облікової документації № 100-2/о, затвердженої наказом Міністерства охорони здоров’я України від 18 квітня 2022 року № 651 «Про затвердження Порядку проведення попередніх, періодичних та </w:t>
      </w:r>
      <w:r w:rsidRPr="00460A4E">
        <w:lastRenderedPageBreak/>
        <w:t>позачергових психіатричних оглядів, у тому числі на предмет вживання психоактивних речовин». Відповідну довідку має бути отримано не раніше 01</w:t>
      </w:r>
      <w:r w:rsidR="00ED4B32">
        <w:t xml:space="preserve"> </w:t>
      </w:r>
      <w:r w:rsidRPr="00460A4E">
        <w:t>лютого 2025 року.</w:t>
      </w:r>
    </w:p>
    <w:p w14:paraId="6123855E" w14:textId="257214C6" w:rsidR="004F3530" w:rsidRPr="00460A4E" w:rsidRDefault="004F3530" w:rsidP="004F3530">
      <w:pPr>
        <w:pStyle w:val="rtejustify"/>
        <w:shd w:val="clear" w:color="auto" w:fill="FFFFFF"/>
        <w:spacing w:before="0" w:beforeAutospacing="0" w:after="0" w:afterAutospacing="0"/>
        <w:ind w:firstLine="705"/>
        <w:jc w:val="both"/>
      </w:pPr>
      <w:r w:rsidRPr="00460A4E">
        <w:t xml:space="preserve">Отже, </w:t>
      </w:r>
      <w:r w:rsidR="00460A4E" w:rsidRPr="00460A4E">
        <w:t xml:space="preserve">довідка про результати обов’язкового медичного профілактичного огляду </w:t>
      </w:r>
      <w:r w:rsidR="00460A4E" w:rsidRPr="00460A4E">
        <w:rPr>
          <w:shd w:val="clear" w:color="auto" w:fill="FFFFFF"/>
        </w:rPr>
        <w:t>від</w:t>
      </w:r>
      <w:r w:rsidR="00E13C80">
        <w:rPr>
          <w:shd w:val="clear" w:color="auto" w:fill="FFFFFF"/>
        </w:rPr>
        <w:t> </w:t>
      </w:r>
      <w:r w:rsidR="00460A4E" w:rsidRPr="00460A4E">
        <w:rPr>
          <w:shd w:val="clear" w:color="auto" w:fill="FFFFFF"/>
        </w:rPr>
        <w:t>28</w:t>
      </w:r>
      <w:r w:rsidR="00C56A8D">
        <w:rPr>
          <w:shd w:val="clear" w:color="auto" w:fill="FFFFFF"/>
        </w:rPr>
        <w:t> </w:t>
      </w:r>
      <w:r w:rsidR="00460A4E" w:rsidRPr="00460A4E">
        <w:rPr>
          <w:shd w:val="clear" w:color="auto" w:fill="FFFFFF"/>
        </w:rPr>
        <w:t>березня 2025 року (форма первинної облікової документації № 086-1/о)</w:t>
      </w:r>
      <w:r w:rsidRPr="00460A4E">
        <w:t xml:space="preserve"> не відповіда</w:t>
      </w:r>
      <w:r w:rsidR="00460A4E" w:rsidRPr="00460A4E">
        <w:t>є</w:t>
      </w:r>
      <w:r w:rsidRPr="00460A4E">
        <w:t xml:space="preserve"> вимогам, визначеним підпунктом 13.10 пункту 13 Оголошення.</w:t>
      </w:r>
    </w:p>
    <w:p w14:paraId="2CBABC0E" w14:textId="288D2500" w:rsidR="00FF2505" w:rsidRPr="00460A4E" w:rsidRDefault="00CF2A49" w:rsidP="00CF2A49">
      <w:pPr>
        <w:pBdr>
          <w:top w:val="nil"/>
          <w:left w:val="nil"/>
          <w:bottom w:val="nil"/>
          <w:right w:val="nil"/>
          <w:between w:val="nil"/>
        </w:pBdr>
        <w:spacing w:after="0" w:line="240" w:lineRule="auto"/>
        <w:ind w:firstLineChars="271" w:firstLine="650"/>
        <w:jc w:val="both"/>
        <w:rPr>
          <w:rFonts w:ascii="Times New Roman" w:hAnsi="Times New Roman" w:cs="Times New Roman"/>
          <w:sz w:val="24"/>
          <w:szCs w:val="24"/>
        </w:rPr>
      </w:pPr>
      <w:r w:rsidRPr="00460A4E">
        <w:rPr>
          <w:rFonts w:ascii="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7CECD9F2" w:rsidR="000A4AB1" w:rsidRPr="00460A4E" w:rsidRDefault="000A4AB1" w:rsidP="000A4AB1">
      <w:pPr>
        <w:widowControl w:val="0"/>
        <w:spacing w:after="0" w:line="240" w:lineRule="auto"/>
        <w:ind w:firstLine="709"/>
        <w:jc w:val="both"/>
        <w:rPr>
          <w:rFonts w:ascii="Times New Roman" w:hAnsi="Times New Roman" w:cs="Times New Roman"/>
          <w:sz w:val="24"/>
          <w:szCs w:val="24"/>
        </w:rPr>
      </w:pPr>
      <w:r w:rsidRPr="00460A4E">
        <w:rPr>
          <w:rFonts w:ascii="Times New Roman" w:hAnsi="Times New Roman" w:cs="Times New Roman"/>
          <w:sz w:val="24"/>
          <w:szCs w:val="24"/>
        </w:rPr>
        <w:t xml:space="preserve">Підпунктом 60.1 пункту 60 </w:t>
      </w:r>
      <w:r w:rsidRPr="00460A4E">
        <w:rPr>
          <w:rStyle w:val="a4"/>
          <w:rFonts w:ascii="Times New Roman" w:hAnsi="Times New Roman" w:cs="Times New Roman"/>
          <w:b w:val="0"/>
          <w:sz w:val="24"/>
          <w:szCs w:val="24"/>
        </w:rPr>
        <w:t>параграфа 7 Регламенту Вищої кваліфікаційної комісії суддів</w:t>
      </w:r>
      <w:r w:rsidRPr="00ED4B32">
        <w:rPr>
          <w:rStyle w:val="a4"/>
          <w:rFonts w:ascii="Times New Roman" w:hAnsi="Times New Roman" w:cs="Times New Roman"/>
          <w:b w:val="0"/>
          <w:sz w:val="110"/>
          <w:szCs w:val="110"/>
        </w:rPr>
        <w:t xml:space="preserve"> </w:t>
      </w:r>
      <w:r w:rsidRPr="00460A4E">
        <w:rPr>
          <w:rStyle w:val="a4"/>
          <w:rFonts w:ascii="Times New Roman" w:hAnsi="Times New Roman" w:cs="Times New Roman"/>
          <w:b w:val="0"/>
          <w:sz w:val="24"/>
          <w:szCs w:val="24"/>
        </w:rPr>
        <w:t>України,</w:t>
      </w:r>
      <w:r w:rsidRPr="00ED4B32">
        <w:rPr>
          <w:rStyle w:val="a4"/>
          <w:rFonts w:ascii="Times New Roman" w:hAnsi="Times New Roman" w:cs="Times New Roman"/>
          <w:b w:val="0"/>
          <w:sz w:val="110"/>
          <w:szCs w:val="110"/>
        </w:rPr>
        <w:t xml:space="preserve"> </w:t>
      </w:r>
      <w:r w:rsidRPr="00460A4E">
        <w:rPr>
          <w:rStyle w:val="a4"/>
          <w:rFonts w:ascii="Times New Roman" w:hAnsi="Times New Roman" w:cs="Times New Roman"/>
          <w:b w:val="0"/>
          <w:sz w:val="24"/>
          <w:szCs w:val="24"/>
        </w:rPr>
        <w:t>затвердженого</w:t>
      </w:r>
      <w:r w:rsidRPr="00ED4B32">
        <w:rPr>
          <w:rStyle w:val="a4"/>
          <w:rFonts w:ascii="Times New Roman" w:hAnsi="Times New Roman" w:cs="Times New Roman"/>
          <w:b w:val="0"/>
          <w:sz w:val="110"/>
          <w:szCs w:val="110"/>
        </w:rPr>
        <w:t xml:space="preserve"> </w:t>
      </w:r>
      <w:r w:rsidRPr="00460A4E">
        <w:rPr>
          <w:rStyle w:val="a4"/>
          <w:rFonts w:ascii="Times New Roman" w:hAnsi="Times New Roman" w:cs="Times New Roman"/>
          <w:b w:val="0"/>
          <w:sz w:val="24"/>
          <w:szCs w:val="24"/>
        </w:rPr>
        <w:t>рішенням</w:t>
      </w:r>
      <w:r w:rsidRPr="00ED4B32">
        <w:rPr>
          <w:rStyle w:val="a4"/>
          <w:rFonts w:ascii="Times New Roman" w:hAnsi="Times New Roman" w:cs="Times New Roman"/>
          <w:b w:val="0"/>
          <w:sz w:val="110"/>
          <w:szCs w:val="110"/>
        </w:rPr>
        <w:t xml:space="preserve"> </w:t>
      </w:r>
      <w:r w:rsidRPr="00460A4E">
        <w:rPr>
          <w:rFonts w:ascii="Times New Roman" w:hAnsi="Times New Roman" w:cs="Times New Roman"/>
          <w:sz w:val="24"/>
          <w:szCs w:val="24"/>
        </w:rPr>
        <w:t>Комісії</w:t>
      </w:r>
      <w:r w:rsidRPr="00ED4B32">
        <w:rPr>
          <w:rFonts w:ascii="Times New Roman" w:hAnsi="Times New Roman" w:cs="Times New Roman"/>
          <w:sz w:val="110"/>
          <w:szCs w:val="110"/>
        </w:rPr>
        <w:t xml:space="preserve"> </w:t>
      </w:r>
      <w:r w:rsidRPr="00460A4E">
        <w:rPr>
          <w:rFonts w:ascii="Times New Roman" w:hAnsi="Times New Roman" w:cs="Times New Roman"/>
          <w:sz w:val="24"/>
          <w:szCs w:val="24"/>
        </w:rPr>
        <w:t>від</w:t>
      </w:r>
      <w:r w:rsidRPr="00ED4B32">
        <w:rPr>
          <w:rStyle w:val="a4"/>
          <w:rFonts w:ascii="Times New Roman" w:hAnsi="Times New Roman" w:cs="Times New Roman"/>
          <w:b w:val="0"/>
          <w:sz w:val="110"/>
          <w:szCs w:val="110"/>
        </w:rPr>
        <w:t xml:space="preserve"> </w:t>
      </w:r>
      <w:r w:rsidRPr="00460A4E">
        <w:rPr>
          <w:rStyle w:val="a4"/>
          <w:rFonts w:ascii="Times New Roman" w:hAnsi="Times New Roman" w:cs="Times New Roman"/>
          <w:b w:val="0"/>
          <w:sz w:val="24"/>
          <w:szCs w:val="24"/>
        </w:rPr>
        <w:t>13</w:t>
      </w:r>
      <w:r w:rsidRPr="00ED4B32">
        <w:rPr>
          <w:rStyle w:val="a4"/>
          <w:rFonts w:ascii="Times New Roman" w:hAnsi="Times New Roman" w:cs="Times New Roman"/>
          <w:b w:val="0"/>
          <w:sz w:val="110"/>
          <w:szCs w:val="110"/>
        </w:rPr>
        <w:t xml:space="preserve"> </w:t>
      </w:r>
      <w:r w:rsidRPr="00460A4E">
        <w:rPr>
          <w:rStyle w:val="a4"/>
          <w:rFonts w:ascii="Times New Roman" w:hAnsi="Times New Roman" w:cs="Times New Roman"/>
          <w:b w:val="0"/>
          <w:sz w:val="24"/>
          <w:szCs w:val="24"/>
        </w:rPr>
        <w:t>жовтня</w:t>
      </w:r>
      <w:r w:rsidRPr="00ED4B32">
        <w:rPr>
          <w:rStyle w:val="a4"/>
          <w:rFonts w:ascii="Times New Roman" w:hAnsi="Times New Roman" w:cs="Times New Roman"/>
          <w:b w:val="0"/>
          <w:sz w:val="110"/>
          <w:szCs w:val="110"/>
        </w:rPr>
        <w:t xml:space="preserve"> </w:t>
      </w:r>
      <w:r w:rsidRPr="00460A4E">
        <w:rPr>
          <w:rStyle w:val="a4"/>
          <w:rFonts w:ascii="Times New Roman" w:hAnsi="Times New Roman" w:cs="Times New Roman"/>
          <w:b w:val="0"/>
          <w:sz w:val="24"/>
          <w:szCs w:val="24"/>
        </w:rPr>
        <w:t>2016</w:t>
      </w:r>
      <w:r w:rsidRPr="00ED4B32">
        <w:rPr>
          <w:rStyle w:val="a4"/>
          <w:rFonts w:ascii="Times New Roman" w:hAnsi="Times New Roman" w:cs="Times New Roman"/>
          <w:b w:val="0"/>
          <w:sz w:val="110"/>
          <w:szCs w:val="110"/>
        </w:rPr>
        <w:t xml:space="preserve"> </w:t>
      </w:r>
      <w:r w:rsidRPr="00460A4E">
        <w:rPr>
          <w:rStyle w:val="a4"/>
          <w:rFonts w:ascii="Times New Roman" w:hAnsi="Times New Roman" w:cs="Times New Roman"/>
          <w:b w:val="0"/>
          <w:sz w:val="24"/>
          <w:szCs w:val="24"/>
        </w:rPr>
        <w:t>року</w:t>
      </w:r>
      <w:r w:rsidRPr="00ED4B32">
        <w:rPr>
          <w:rStyle w:val="a4"/>
          <w:rFonts w:ascii="Times New Roman" w:hAnsi="Times New Roman" w:cs="Times New Roman"/>
          <w:b w:val="0"/>
          <w:sz w:val="110"/>
          <w:szCs w:val="110"/>
        </w:rPr>
        <w:t xml:space="preserve"> </w:t>
      </w:r>
      <w:r w:rsidRPr="00460A4E">
        <w:rPr>
          <w:rStyle w:val="a4"/>
          <w:rFonts w:ascii="Times New Roman" w:hAnsi="Times New Roman" w:cs="Times New Roman"/>
          <w:b w:val="0"/>
          <w:sz w:val="24"/>
          <w:szCs w:val="24"/>
        </w:rPr>
        <w:t>№ 81/зп-16 (</w:t>
      </w:r>
      <w:r w:rsidR="00E13C80">
        <w:rPr>
          <w:rStyle w:val="a4"/>
          <w:rFonts w:ascii="Times New Roman" w:hAnsi="Times New Roman" w:cs="Times New Roman"/>
          <w:b w:val="0"/>
          <w:sz w:val="24"/>
          <w:szCs w:val="24"/>
        </w:rPr>
        <w:t>у</w:t>
      </w:r>
      <w:r w:rsidRPr="00460A4E">
        <w:rPr>
          <w:rStyle w:val="a4"/>
          <w:rFonts w:ascii="Times New Roman" w:hAnsi="Times New Roman" w:cs="Times New Roman"/>
          <w:b w:val="0"/>
          <w:sz w:val="24"/>
          <w:szCs w:val="24"/>
        </w:rPr>
        <w:t xml:space="preserve"> редакції рішення </w:t>
      </w:r>
      <w:r w:rsidRPr="00460A4E">
        <w:rPr>
          <w:rFonts w:ascii="Times New Roman" w:hAnsi="Times New Roman" w:cs="Times New Roman"/>
          <w:sz w:val="24"/>
          <w:szCs w:val="24"/>
        </w:rPr>
        <w:t>Комісії</w:t>
      </w:r>
      <w:r w:rsidRPr="00ED4B32">
        <w:rPr>
          <w:rStyle w:val="a4"/>
          <w:rFonts w:ascii="Times New Roman" w:hAnsi="Times New Roman" w:cs="Times New Roman"/>
          <w:b w:val="0"/>
          <w:sz w:val="24"/>
          <w:szCs w:val="24"/>
        </w:rPr>
        <w:t xml:space="preserve"> </w:t>
      </w:r>
      <w:r w:rsidRPr="00460A4E">
        <w:rPr>
          <w:rStyle w:val="a4"/>
          <w:rFonts w:ascii="Times New Roman" w:hAnsi="Times New Roman" w:cs="Times New Roman"/>
          <w:b w:val="0"/>
          <w:sz w:val="24"/>
          <w:szCs w:val="24"/>
        </w:rPr>
        <w:t>від 19 жовтня 2023 року № 119/зп-23</w:t>
      </w:r>
      <w:r w:rsidR="009428D0" w:rsidRPr="00460A4E">
        <w:rPr>
          <w:rStyle w:val="a4"/>
          <w:rFonts w:ascii="Times New Roman" w:hAnsi="Times New Roman" w:cs="Times New Roman"/>
          <w:b w:val="0"/>
          <w:sz w:val="24"/>
          <w:szCs w:val="24"/>
        </w:rPr>
        <w:t xml:space="preserve"> зі змінами</w:t>
      </w:r>
      <w:r w:rsidRPr="00460A4E">
        <w:rPr>
          <w:rStyle w:val="a4"/>
          <w:rFonts w:ascii="Times New Roman" w:hAnsi="Times New Roman" w:cs="Times New Roman"/>
          <w:b w:val="0"/>
          <w:sz w:val="24"/>
          <w:szCs w:val="24"/>
        </w:rPr>
        <w:t>)</w:t>
      </w:r>
      <w:r w:rsidR="009428D0" w:rsidRPr="00460A4E">
        <w:rPr>
          <w:rStyle w:val="a4"/>
          <w:rFonts w:ascii="Times New Roman" w:hAnsi="Times New Roman" w:cs="Times New Roman"/>
          <w:b w:val="0"/>
          <w:sz w:val="24"/>
          <w:szCs w:val="24"/>
        </w:rPr>
        <w:t xml:space="preserve">, </w:t>
      </w:r>
      <w:r w:rsidRPr="00460A4E">
        <w:rPr>
          <w:rStyle w:val="a4"/>
          <w:rFonts w:ascii="Times New Roman" w:hAnsi="Times New Roman" w:cs="Times New Roman"/>
          <w:b w:val="0"/>
          <w:sz w:val="24"/>
          <w:szCs w:val="24"/>
        </w:rPr>
        <w:t>встановлено, що</w:t>
      </w:r>
      <w:r w:rsidRPr="00ED4B32">
        <w:rPr>
          <w:rStyle w:val="a4"/>
          <w:rFonts w:ascii="Times New Roman" w:hAnsi="Times New Roman" w:cs="Times New Roman"/>
          <w:b w:val="0"/>
          <w:sz w:val="24"/>
          <w:szCs w:val="24"/>
        </w:rPr>
        <w:t xml:space="preserve"> </w:t>
      </w:r>
      <w:r w:rsidRPr="00460A4E">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69456BD8" w:rsidR="000A4AB1" w:rsidRPr="00460A4E"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460A4E">
        <w:rPr>
          <w:rFonts w:ascii="Times New Roman" w:hAnsi="Times New Roman" w:cs="Times New Roman"/>
          <w:sz w:val="24"/>
          <w:szCs w:val="24"/>
        </w:rPr>
        <w:t xml:space="preserve">Урахувавши викладене, Комісія дійшла висновку, що неподання </w:t>
      </w:r>
      <w:proofErr w:type="spellStart"/>
      <w:r w:rsidR="002B7617" w:rsidRPr="00460A4E">
        <w:rPr>
          <w:rFonts w:ascii="Times New Roman" w:hAnsi="Times New Roman" w:cs="Times New Roman"/>
          <w:sz w:val="24"/>
          <w:szCs w:val="24"/>
        </w:rPr>
        <w:t>Са</w:t>
      </w:r>
      <w:r w:rsidR="00460A4E" w:rsidRPr="00460A4E">
        <w:rPr>
          <w:rFonts w:ascii="Times New Roman" w:hAnsi="Times New Roman" w:cs="Times New Roman"/>
          <w:sz w:val="24"/>
          <w:szCs w:val="24"/>
        </w:rPr>
        <w:t>вкою</w:t>
      </w:r>
      <w:proofErr w:type="spellEnd"/>
      <w:r w:rsidR="00460A4E" w:rsidRPr="00460A4E">
        <w:rPr>
          <w:rFonts w:ascii="Times New Roman" w:hAnsi="Times New Roman" w:cs="Times New Roman"/>
          <w:sz w:val="24"/>
          <w:szCs w:val="24"/>
        </w:rPr>
        <w:t xml:space="preserve"> О.І.</w:t>
      </w:r>
      <w:r w:rsidRPr="00460A4E">
        <w:rPr>
          <w:rFonts w:ascii="Times New Roman" w:hAnsi="Times New Roman" w:cs="Times New Roman"/>
          <w:b/>
          <w:sz w:val="24"/>
          <w:szCs w:val="24"/>
        </w:rPr>
        <w:t xml:space="preserve"> </w:t>
      </w:r>
      <w:r w:rsidRPr="00460A4E">
        <w:rPr>
          <w:rFonts w:ascii="Times New Roman" w:hAnsi="Times New Roman" w:cs="Times New Roman"/>
          <w:sz w:val="24"/>
          <w:szCs w:val="24"/>
        </w:rPr>
        <w:t xml:space="preserve">усіх документів, визначених частиною </w:t>
      </w:r>
      <w:r w:rsidRPr="00460A4E">
        <w:rPr>
          <w:rFonts w:ascii="Times New Roman" w:hAnsi="Times New Roman" w:cs="Times New Roman"/>
          <w:sz w:val="24"/>
          <w:szCs w:val="24"/>
          <w:shd w:val="clear" w:color="auto" w:fill="FFFFFF"/>
        </w:rPr>
        <w:t xml:space="preserve">першою статті 72 Закону, є підставою для відмови </w:t>
      </w:r>
      <w:r w:rsidR="00E13C80">
        <w:rPr>
          <w:rFonts w:ascii="Times New Roman" w:hAnsi="Times New Roman" w:cs="Times New Roman"/>
          <w:sz w:val="24"/>
          <w:szCs w:val="24"/>
          <w:shd w:val="clear" w:color="auto" w:fill="FFFFFF"/>
        </w:rPr>
        <w:t>в</w:t>
      </w:r>
      <w:r w:rsidRPr="00460A4E">
        <w:rPr>
          <w:rFonts w:ascii="Times New Roman" w:hAnsi="Times New Roman" w:cs="Times New Roman"/>
          <w:sz w:val="24"/>
          <w:szCs w:val="24"/>
          <w:shd w:val="clear" w:color="auto" w:fill="FFFFFF"/>
        </w:rPr>
        <w:t xml:space="preserve"> допуску до участі в Доборі.</w:t>
      </w:r>
    </w:p>
    <w:p w14:paraId="2F8DFB10" w14:textId="77777777" w:rsidR="000A4AB1" w:rsidRPr="00460A4E"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460A4E">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460A4E"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Керуючись статтями 69–73, 93, 101 Закону України «Пр</w:t>
      </w:r>
      <w:r w:rsidR="00FB5FCB" w:rsidRPr="00460A4E">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460A4E">
        <w:rPr>
          <w:rFonts w:ascii="Times New Roman" w:eastAsia="Times New Roman" w:hAnsi="Times New Roman" w:cs="Times New Roman"/>
          <w:sz w:val="24"/>
          <w:szCs w:val="24"/>
        </w:rPr>
        <w:t>одноголосно</w:t>
      </w:r>
    </w:p>
    <w:p w14:paraId="1CB99D8C" w14:textId="77777777" w:rsidR="000A4AB1" w:rsidRPr="00460A4E"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460A4E" w:rsidRDefault="000A4AB1" w:rsidP="000A4AB1">
      <w:pPr>
        <w:spacing w:after="0" w:line="240" w:lineRule="auto"/>
        <w:jc w:val="center"/>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вирішила:</w:t>
      </w:r>
    </w:p>
    <w:p w14:paraId="30F462B9" w14:textId="77777777" w:rsidR="000A4AB1" w:rsidRPr="00460A4E"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7274C865" w:rsidR="000A4AB1" w:rsidRPr="00460A4E" w:rsidRDefault="000A4AB1" w:rsidP="000A4AB1">
      <w:pPr>
        <w:spacing w:after="0" w:line="240" w:lineRule="auto"/>
        <w:jc w:val="both"/>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 xml:space="preserve">відмовити </w:t>
      </w:r>
      <w:proofErr w:type="spellStart"/>
      <w:r w:rsidR="002B7617" w:rsidRPr="00460A4E">
        <w:rPr>
          <w:rFonts w:ascii="Times New Roman" w:eastAsia="Times New Roman" w:hAnsi="Times New Roman" w:cs="Times New Roman"/>
          <w:sz w:val="24"/>
          <w:szCs w:val="24"/>
        </w:rPr>
        <w:t>Сав</w:t>
      </w:r>
      <w:r w:rsidR="00460A4E" w:rsidRPr="00460A4E">
        <w:rPr>
          <w:rFonts w:ascii="Times New Roman" w:eastAsia="Times New Roman" w:hAnsi="Times New Roman" w:cs="Times New Roman"/>
          <w:sz w:val="24"/>
          <w:szCs w:val="24"/>
        </w:rPr>
        <w:t>ці</w:t>
      </w:r>
      <w:proofErr w:type="spellEnd"/>
      <w:r w:rsidR="00460A4E" w:rsidRPr="00460A4E">
        <w:rPr>
          <w:rFonts w:ascii="Times New Roman" w:eastAsia="Times New Roman" w:hAnsi="Times New Roman" w:cs="Times New Roman"/>
          <w:sz w:val="24"/>
          <w:szCs w:val="24"/>
        </w:rPr>
        <w:t xml:space="preserve"> Олександру Івановичу</w:t>
      </w:r>
      <w:r w:rsidRPr="00460A4E">
        <w:rPr>
          <w:rFonts w:ascii="Times New Roman" w:eastAsia="Times New Roman" w:hAnsi="Times New Roman" w:cs="Times New Roman"/>
          <w:sz w:val="24"/>
          <w:szCs w:val="24"/>
        </w:rPr>
        <w:t xml:space="preserve"> </w:t>
      </w:r>
      <w:r w:rsidR="00E13C80">
        <w:rPr>
          <w:rFonts w:ascii="Times New Roman" w:eastAsia="Times New Roman" w:hAnsi="Times New Roman" w:cs="Times New Roman"/>
          <w:sz w:val="24"/>
          <w:szCs w:val="24"/>
        </w:rPr>
        <w:t>в</w:t>
      </w:r>
      <w:r w:rsidRPr="00460A4E">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460A4E"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460A4E" w:rsidRDefault="000A4AB1" w:rsidP="000A4AB1">
      <w:pPr>
        <w:spacing w:after="0" w:line="240" w:lineRule="auto"/>
        <w:jc w:val="both"/>
        <w:rPr>
          <w:rFonts w:ascii="Times New Roman" w:eastAsia="Times New Roman" w:hAnsi="Times New Roman" w:cs="Times New Roman"/>
          <w:sz w:val="24"/>
          <w:szCs w:val="24"/>
        </w:rPr>
      </w:pPr>
    </w:p>
    <w:p w14:paraId="643448AE" w14:textId="2493AD26" w:rsidR="008F7BF4" w:rsidRPr="00460A4E"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Головуючий</w:t>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00ED4B32">
        <w:rPr>
          <w:rFonts w:ascii="Times New Roman" w:eastAsia="Times New Roman" w:hAnsi="Times New Roman" w:cs="Times New Roman"/>
          <w:sz w:val="24"/>
          <w:szCs w:val="24"/>
        </w:rPr>
        <w:t xml:space="preserve"> </w:t>
      </w:r>
      <w:r w:rsidRPr="00460A4E">
        <w:rPr>
          <w:rFonts w:ascii="Times New Roman" w:eastAsia="Times New Roman" w:hAnsi="Times New Roman" w:cs="Times New Roman"/>
          <w:sz w:val="24"/>
          <w:szCs w:val="24"/>
        </w:rPr>
        <w:t xml:space="preserve"> Олексій ОМЕЛЬЯН</w:t>
      </w:r>
    </w:p>
    <w:p w14:paraId="44D5155A" w14:textId="77777777" w:rsidR="008F7BF4" w:rsidRPr="00460A4E"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ab/>
      </w:r>
    </w:p>
    <w:p w14:paraId="3DA0E4E1" w14:textId="77777777" w:rsidR="008F7BF4" w:rsidRPr="00460A4E"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07954A4" w14:textId="50664DA4" w:rsidR="008F7BF4" w:rsidRPr="00460A4E"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Члени Комісії:</w:t>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00ED4B32">
        <w:rPr>
          <w:rFonts w:ascii="Times New Roman" w:eastAsia="Times New Roman" w:hAnsi="Times New Roman" w:cs="Times New Roman"/>
          <w:sz w:val="24"/>
          <w:szCs w:val="24"/>
        </w:rPr>
        <w:t xml:space="preserve"> </w:t>
      </w:r>
      <w:r w:rsidRPr="00460A4E">
        <w:rPr>
          <w:rFonts w:ascii="Times New Roman" w:eastAsia="Times New Roman" w:hAnsi="Times New Roman" w:cs="Times New Roman"/>
          <w:sz w:val="24"/>
          <w:szCs w:val="24"/>
        </w:rPr>
        <w:t xml:space="preserve"> Ярослав ДУХ</w:t>
      </w:r>
    </w:p>
    <w:p w14:paraId="29B10DAB" w14:textId="77777777" w:rsidR="008F7BF4" w:rsidRPr="00460A4E"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086616CA" w14:textId="77777777" w:rsidR="008F7BF4" w:rsidRPr="00460A4E"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261812A" w14:textId="14BEF4A6" w:rsidR="000A4AB1" w:rsidRPr="00460A4E" w:rsidRDefault="008F7BF4" w:rsidP="000A4AB1">
      <w:pPr>
        <w:shd w:val="clear" w:color="auto" w:fill="FFFFFF"/>
        <w:spacing w:after="0" w:line="240" w:lineRule="auto"/>
        <w:jc w:val="both"/>
        <w:rPr>
          <w:rFonts w:ascii="Times New Roman" w:eastAsia="Times New Roman" w:hAnsi="Times New Roman" w:cs="Times New Roman"/>
          <w:sz w:val="24"/>
          <w:szCs w:val="24"/>
        </w:rPr>
      </w:pP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r>
      <w:r w:rsidRPr="00460A4E">
        <w:rPr>
          <w:rFonts w:ascii="Times New Roman" w:eastAsia="Times New Roman" w:hAnsi="Times New Roman" w:cs="Times New Roman"/>
          <w:sz w:val="24"/>
          <w:szCs w:val="24"/>
        </w:rPr>
        <w:tab/>
        <w:t xml:space="preserve">  Володимир ЛУГАНСЬКИЙ</w:t>
      </w:r>
      <w:bookmarkStart w:id="3" w:name="_GoBack"/>
      <w:bookmarkEnd w:id="3"/>
    </w:p>
    <w:sectPr w:rsidR="000A4AB1" w:rsidRPr="00460A4E"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28477" w14:textId="77777777" w:rsidR="00B22DC9" w:rsidRDefault="00B22DC9">
      <w:pPr>
        <w:spacing w:after="0" w:line="240" w:lineRule="auto"/>
      </w:pPr>
      <w:r>
        <w:separator/>
      </w:r>
    </w:p>
  </w:endnote>
  <w:endnote w:type="continuationSeparator" w:id="0">
    <w:p w14:paraId="4DC95EF6" w14:textId="77777777" w:rsidR="00B22DC9" w:rsidRDefault="00B22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8305F" w14:textId="77777777" w:rsidR="00B22DC9" w:rsidRDefault="00B22DC9">
      <w:pPr>
        <w:spacing w:after="0" w:line="240" w:lineRule="auto"/>
      </w:pPr>
      <w:r>
        <w:separator/>
      </w:r>
    </w:p>
  </w:footnote>
  <w:footnote w:type="continuationSeparator" w:id="0">
    <w:p w14:paraId="6DA4E9A1" w14:textId="77777777" w:rsidR="00B22DC9" w:rsidRDefault="00B22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71348"/>
    <w:rsid w:val="00077512"/>
    <w:rsid w:val="000A4AB1"/>
    <w:rsid w:val="000A737F"/>
    <w:rsid w:val="00113778"/>
    <w:rsid w:val="00162DA3"/>
    <w:rsid w:val="00186B63"/>
    <w:rsid w:val="00192FC7"/>
    <w:rsid w:val="001B4245"/>
    <w:rsid w:val="00264C0C"/>
    <w:rsid w:val="002B7617"/>
    <w:rsid w:val="003223C8"/>
    <w:rsid w:val="003911E5"/>
    <w:rsid w:val="003E40E6"/>
    <w:rsid w:val="00424ACE"/>
    <w:rsid w:val="00460A4E"/>
    <w:rsid w:val="004F28F7"/>
    <w:rsid w:val="004F3530"/>
    <w:rsid w:val="005351B7"/>
    <w:rsid w:val="005503E6"/>
    <w:rsid w:val="00595388"/>
    <w:rsid w:val="005958CF"/>
    <w:rsid w:val="0061647F"/>
    <w:rsid w:val="00650ABE"/>
    <w:rsid w:val="006575E6"/>
    <w:rsid w:val="00697A51"/>
    <w:rsid w:val="006A0EE8"/>
    <w:rsid w:val="006B44C8"/>
    <w:rsid w:val="006C15D1"/>
    <w:rsid w:val="00713784"/>
    <w:rsid w:val="007555FB"/>
    <w:rsid w:val="007D1FDE"/>
    <w:rsid w:val="008039CA"/>
    <w:rsid w:val="00833F05"/>
    <w:rsid w:val="00855247"/>
    <w:rsid w:val="008E147E"/>
    <w:rsid w:val="008F7BF4"/>
    <w:rsid w:val="0092192D"/>
    <w:rsid w:val="00933979"/>
    <w:rsid w:val="00934608"/>
    <w:rsid w:val="009428D0"/>
    <w:rsid w:val="009950CD"/>
    <w:rsid w:val="009B10C0"/>
    <w:rsid w:val="009D724F"/>
    <w:rsid w:val="00A7574B"/>
    <w:rsid w:val="00AA1061"/>
    <w:rsid w:val="00B063E4"/>
    <w:rsid w:val="00B22DC9"/>
    <w:rsid w:val="00B23014"/>
    <w:rsid w:val="00B679A2"/>
    <w:rsid w:val="00C20D27"/>
    <w:rsid w:val="00C56A8D"/>
    <w:rsid w:val="00C653B8"/>
    <w:rsid w:val="00CB58AD"/>
    <w:rsid w:val="00CE4A0F"/>
    <w:rsid w:val="00CF2A49"/>
    <w:rsid w:val="00DD165D"/>
    <w:rsid w:val="00DE5E47"/>
    <w:rsid w:val="00DF1242"/>
    <w:rsid w:val="00E13C80"/>
    <w:rsid w:val="00E64007"/>
    <w:rsid w:val="00E711D1"/>
    <w:rsid w:val="00E76590"/>
    <w:rsid w:val="00EA4539"/>
    <w:rsid w:val="00EC77BE"/>
    <w:rsid w:val="00ED3462"/>
    <w:rsid w:val="00ED4B32"/>
    <w:rsid w:val="00F967F2"/>
    <w:rsid w:val="00FB29EB"/>
    <w:rsid w:val="00FB5FCB"/>
    <w:rsid w:val="00FF25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4F35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201169982">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5418</Words>
  <Characters>3089</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2025-06-13T11:51:00Z</dcterms:created>
  <dcterms:modified xsi:type="dcterms:W3CDTF">2025-06-13T11:51:00Z</dcterms:modified>
</cp:coreProperties>
</file>